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0268" w14:textId="56331228" w:rsidR="00BF1FCC" w:rsidRPr="00BF1FCC" w:rsidRDefault="00D34C1E" w:rsidP="00D34C1E">
      <w:pPr>
        <w:pStyle w:val="Rubrik1"/>
        <w:spacing w:before="120"/>
        <w:ind w:left="1304" w:firstLine="1304"/>
        <w:rPr>
          <w:sz w:val="24"/>
        </w:rPr>
      </w:pPr>
      <w:r>
        <w:rPr>
          <w:sz w:val="24"/>
        </w:rPr>
        <w:t>2018-01-01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1FCC" w:rsidRPr="00BF1FCC">
        <w:rPr>
          <w:sz w:val="24"/>
        </w:rPr>
        <w:t>Bilaga 9</w:t>
      </w:r>
    </w:p>
    <w:p w14:paraId="481B5ABE" w14:textId="69C6FB60" w:rsidR="008904A6" w:rsidRDefault="008904A6" w:rsidP="00545639">
      <w:pPr>
        <w:pStyle w:val="Rubrik1"/>
      </w:pPr>
      <w:r w:rsidRPr="008904A6">
        <w:t xml:space="preserve">Samverkan vid </w:t>
      </w:r>
      <w:r w:rsidR="00996E6D">
        <w:t>in- och utskrivning från slutenvården</w:t>
      </w:r>
    </w:p>
    <w:p w14:paraId="5C74F966" w14:textId="77777777" w:rsidR="008E6FD7" w:rsidRPr="008E6FD7" w:rsidRDefault="008E6FD7" w:rsidP="008E6FD7">
      <w:pPr>
        <w:pStyle w:val="Rubrik2"/>
      </w:pPr>
      <w:r>
        <w:t>Inledning</w:t>
      </w:r>
    </w:p>
    <w:p w14:paraId="0E9097BF" w14:textId="32A9E1AA" w:rsidR="008904A6" w:rsidRPr="00A579CA" w:rsidRDefault="008904A6" w:rsidP="00A579CA">
      <w:pPr>
        <w:pStyle w:val="Brdtext-RJH"/>
      </w:pPr>
      <w:r w:rsidRPr="00A579CA">
        <w:t>Lagen om samverkan vid utskrivning</w:t>
      </w:r>
      <w:r w:rsidR="005736E0">
        <w:rPr>
          <w:lang w:val="sv-SE"/>
        </w:rPr>
        <w:t xml:space="preserve"> </w:t>
      </w:r>
      <w:r w:rsidRPr="00A579CA">
        <w:t>från slutenvård</w:t>
      </w:r>
      <w:r w:rsidR="00545639" w:rsidRPr="005736E0">
        <w:rPr>
          <w:rStyle w:val="Fotnotsreferens"/>
        </w:rPr>
        <w:footnoteReference w:id="1"/>
      </w:r>
      <w:r w:rsidRPr="005736E0">
        <w:rPr>
          <w:rStyle w:val="Fotnotsreferens"/>
        </w:rPr>
        <w:t xml:space="preserve"> </w:t>
      </w:r>
      <w:r w:rsidR="00545639" w:rsidRPr="00A579CA">
        <w:t>träd</w:t>
      </w:r>
      <w:r w:rsidR="00150894">
        <w:rPr>
          <w:lang w:val="sv-SE"/>
        </w:rPr>
        <w:t>d</w:t>
      </w:r>
      <w:r w:rsidR="00545639" w:rsidRPr="00A579CA">
        <w:t xml:space="preserve">e i kraft 2018-01-01, och </w:t>
      </w:r>
      <w:r w:rsidR="005F030A" w:rsidRPr="00A579CA">
        <w:t>ers</w:t>
      </w:r>
      <w:r w:rsidR="00150894">
        <w:rPr>
          <w:lang w:val="sv-SE"/>
        </w:rPr>
        <w:t>a</w:t>
      </w:r>
      <w:r w:rsidR="005F030A" w:rsidRPr="00A579CA">
        <w:t xml:space="preserve">tte </w:t>
      </w:r>
      <w:r w:rsidR="00FF3FE3" w:rsidRPr="00A579CA">
        <w:t xml:space="preserve">då </w:t>
      </w:r>
      <w:r w:rsidR="00545639" w:rsidRPr="00A579CA">
        <w:t xml:space="preserve">Lagen om kommunernas </w:t>
      </w:r>
      <w:r w:rsidR="005F030A" w:rsidRPr="00A579CA">
        <w:t>betalningsansvar</w:t>
      </w:r>
      <w:r w:rsidR="00545639" w:rsidRPr="00A579CA">
        <w:t xml:space="preserve"> för viss hälso- och sjukvård</w:t>
      </w:r>
      <w:r w:rsidR="00545639" w:rsidRPr="005736E0">
        <w:rPr>
          <w:rStyle w:val="Fotnotsreferens"/>
        </w:rPr>
        <w:footnoteReference w:id="2"/>
      </w:r>
      <w:r w:rsidR="00545639" w:rsidRPr="00A579CA">
        <w:t>. Syftet med lagen är att</w:t>
      </w:r>
      <w:r w:rsidRPr="00A579CA">
        <w:t xml:space="preserve"> främja en god vård och socialtjänst</w:t>
      </w:r>
      <w:r w:rsidR="00E265AF">
        <w:rPr>
          <w:lang w:val="sv-SE"/>
        </w:rPr>
        <w:t xml:space="preserve"> av god kvalitet</w:t>
      </w:r>
      <w:r w:rsidRPr="00A579CA">
        <w:t xml:space="preserve"> för </w:t>
      </w:r>
      <w:r w:rsidR="00E265AF">
        <w:rPr>
          <w:lang w:val="sv-SE"/>
        </w:rPr>
        <w:t>enskilda</w:t>
      </w:r>
      <w:r w:rsidRPr="00A579CA">
        <w:t xml:space="preserve"> som efter utskrivning från sluten vård behöver insatser från socialtjänsten, den kommunal</w:t>
      </w:r>
      <w:r w:rsidR="009A51EC" w:rsidRPr="00A579CA">
        <w:t>a</w:t>
      </w:r>
      <w:r w:rsidRPr="00A579CA">
        <w:t xml:space="preserve"> hälso- och sjukvår</w:t>
      </w:r>
      <w:r w:rsidR="009A51EC" w:rsidRPr="00A579CA">
        <w:t>den eller den region</w:t>
      </w:r>
      <w:r w:rsidRPr="00A579CA">
        <w:t xml:space="preserve">finansierade sjukvården. </w:t>
      </w:r>
      <w:r w:rsidR="009A51EC" w:rsidRPr="00A579CA">
        <w:t>L</w:t>
      </w:r>
      <w:r w:rsidRPr="00A579CA">
        <w:t>agen</w:t>
      </w:r>
      <w:r w:rsidR="009A51EC" w:rsidRPr="00A579CA">
        <w:t xml:space="preserve"> ska</w:t>
      </w:r>
      <w:r w:rsidRPr="00A579CA">
        <w:t xml:space="preserve"> särskilt främja att en </w:t>
      </w:r>
      <w:r w:rsidR="009A51EC" w:rsidRPr="00A579CA">
        <w:t>person</w:t>
      </w:r>
      <w:r w:rsidRPr="00A579CA">
        <w:t xml:space="preserve"> med behov av insatser skrivs ut från den slutna vården så snart som möjligt efter att den behandlande läkaren bedömt att </w:t>
      </w:r>
      <w:r w:rsidR="009A51EC" w:rsidRPr="00A579CA">
        <w:t>personen</w:t>
      </w:r>
      <w:r w:rsidRPr="00A579CA">
        <w:t xml:space="preserve"> är utskrivningsklar.</w:t>
      </w:r>
    </w:p>
    <w:p w14:paraId="5C1A3E1F" w14:textId="77777777" w:rsidR="008904A6" w:rsidRDefault="008904A6" w:rsidP="00A579CA">
      <w:pPr>
        <w:pStyle w:val="Brdtext-RJH"/>
        <w:rPr>
          <w:color w:val="000000" w:themeColor="text1"/>
          <w:sz w:val="24"/>
          <w:szCs w:val="24"/>
        </w:rPr>
      </w:pPr>
    </w:p>
    <w:p w14:paraId="75CE0CE4" w14:textId="77777777" w:rsidR="00E80DD3" w:rsidRDefault="001A62BB" w:rsidP="00A579CA">
      <w:pPr>
        <w:pStyle w:val="Brdtext-RJH"/>
        <w:rPr>
          <w:lang w:val="sv-SE"/>
        </w:rPr>
      </w:pPr>
      <w:r>
        <w:rPr>
          <w:lang w:val="sv-SE"/>
        </w:rPr>
        <w:t>O</w:t>
      </w:r>
      <w:r w:rsidR="00F3451D">
        <w:rPr>
          <w:lang w:val="sv-SE"/>
        </w:rPr>
        <w:t xml:space="preserve">nödig sjukhusvård </w:t>
      </w:r>
      <w:r>
        <w:rPr>
          <w:lang w:val="sv-SE"/>
        </w:rPr>
        <w:t xml:space="preserve">kan undvikas genom att </w:t>
      </w:r>
      <w:r w:rsidR="00071D7F">
        <w:rPr>
          <w:lang w:val="sv-SE"/>
        </w:rPr>
        <w:t xml:space="preserve">regionens primärvård och öppna specialiserade vård, </w:t>
      </w:r>
      <w:r w:rsidR="00F3451D">
        <w:rPr>
          <w:lang w:val="sv-SE"/>
        </w:rPr>
        <w:t>kommun</w:t>
      </w:r>
      <w:r>
        <w:rPr>
          <w:lang w:val="sv-SE"/>
        </w:rPr>
        <w:t xml:space="preserve">ens </w:t>
      </w:r>
      <w:r w:rsidR="00071D7F">
        <w:rPr>
          <w:lang w:val="sv-SE"/>
        </w:rPr>
        <w:t xml:space="preserve">socialtjänst och </w:t>
      </w:r>
      <w:r w:rsidR="00E265AF">
        <w:rPr>
          <w:lang w:val="sv-SE"/>
        </w:rPr>
        <w:t>den kommunala hälso- och sjukvården</w:t>
      </w:r>
      <w:r w:rsidR="00F3451D">
        <w:rPr>
          <w:lang w:val="sv-SE"/>
        </w:rPr>
        <w:t xml:space="preserve"> arbetar </w:t>
      </w:r>
      <w:r w:rsidR="00963260">
        <w:rPr>
          <w:lang w:val="sv-SE"/>
        </w:rPr>
        <w:t xml:space="preserve">förebyggande </w:t>
      </w:r>
      <w:r w:rsidR="00E265AF">
        <w:rPr>
          <w:lang w:val="sv-SE"/>
        </w:rPr>
        <w:t xml:space="preserve">och </w:t>
      </w:r>
      <w:r w:rsidR="00963260">
        <w:rPr>
          <w:lang w:val="sv-SE"/>
        </w:rPr>
        <w:t xml:space="preserve">på ett </w:t>
      </w:r>
      <w:r w:rsidR="00F3451D">
        <w:rPr>
          <w:lang w:val="sv-SE"/>
        </w:rPr>
        <w:t>systematiskt</w:t>
      </w:r>
      <w:r w:rsidR="00963260">
        <w:rPr>
          <w:lang w:val="sv-SE"/>
        </w:rPr>
        <w:t xml:space="preserve"> sätt</w:t>
      </w:r>
      <w:r w:rsidR="007D0640">
        <w:rPr>
          <w:lang w:val="sv-SE"/>
        </w:rPr>
        <w:t xml:space="preserve">, t ex genom Trygg och säker </w:t>
      </w:r>
      <w:r w:rsidR="007D0F2F">
        <w:rPr>
          <w:lang w:val="sv-SE"/>
        </w:rPr>
        <w:t xml:space="preserve">hemma </w:t>
      </w:r>
      <w:r w:rsidR="007D0640">
        <w:rPr>
          <w:lang w:val="sv-SE"/>
        </w:rPr>
        <w:t>modellen</w:t>
      </w:r>
      <w:r w:rsidR="00963260">
        <w:rPr>
          <w:lang w:val="sv-SE"/>
        </w:rPr>
        <w:t>.</w:t>
      </w:r>
      <w:r w:rsidR="00F3451D">
        <w:rPr>
          <w:lang w:val="sv-SE"/>
        </w:rPr>
        <w:t xml:space="preserve"> En god utskrivningskvalité minskar </w:t>
      </w:r>
      <w:r>
        <w:rPr>
          <w:lang w:val="sv-SE"/>
        </w:rPr>
        <w:t xml:space="preserve">också </w:t>
      </w:r>
      <w:r w:rsidR="00F3451D">
        <w:rPr>
          <w:lang w:val="sv-SE"/>
        </w:rPr>
        <w:t>undvikbara återinskrivningar i slutenvård.</w:t>
      </w:r>
      <w:r w:rsidR="005A6A17">
        <w:rPr>
          <w:lang w:val="sv-SE"/>
        </w:rPr>
        <w:t xml:space="preserve"> </w:t>
      </w:r>
    </w:p>
    <w:p w14:paraId="7CD17AAA" w14:textId="77777777" w:rsidR="00E80DD3" w:rsidRPr="00E80DD3" w:rsidRDefault="00E80DD3" w:rsidP="00A579CA">
      <w:pPr>
        <w:pStyle w:val="Brdtext-RJH"/>
        <w:rPr>
          <w:lang w:val="sv-SE"/>
        </w:rPr>
      </w:pPr>
    </w:p>
    <w:p w14:paraId="0B5BC512" w14:textId="77777777" w:rsidR="008B206A" w:rsidRDefault="00A579CA" w:rsidP="008B206A">
      <w:pPr>
        <w:pStyle w:val="Brdtext-RJH"/>
        <w:rPr>
          <w:lang w:val="sv-SE"/>
        </w:rPr>
      </w:pPr>
      <w:r w:rsidRPr="00E80DD3">
        <w:rPr>
          <w:lang w:val="sv-SE"/>
        </w:rPr>
        <w:t>Parterna har ett gemensamt ansvar för trygga och säkra övergångar i vården</w:t>
      </w:r>
      <w:r w:rsidR="008E6FD7" w:rsidRPr="00E80DD3">
        <w:rPr>
          <w:lang w:val="sv-SE"/>
        </w:rPr>
        <w:t>. S</w:t>
      </w:r>
      <w:r w:rsidRPr="00E80DD3">
        <w:rPr>
          <w:lang w:val="sv-SE"/>
        </w:rPr>
        <w:t>am</w:t>
      </w:r>
      <w:r w:rsidR="00E265AF">
        <w:rPr>
          <w:lang w:val="sv-SE"/>
        </w:rPr>
        <w:t>verkan</w:t>
      </w:r>
      <w:r w:rsidRPr="00E80DD3">
        <w:rPr>
          <w:lang w:val="sv-SE"/>
        </w:rPr>
        <w:t xml:space="preserve"> genom hela vårdkedjan säkra</w:t>
      </w:r>
      <w:r w:rsidR="008E6FD7" w:rsidRPr="00E80DD3">
        <w:rPr>
          <w:lang w:val="sv-SE"/>
        </w:rPr>
        <w:t>r</w:t>
      </w:r>
      <w:r w:rsidRPr="00E80DD3">
        <w:rPr>
          <w:lang w:val="sv-SE"/>
        </w:rPr>
        <w:t xml:space="preserve"> att personen får </w:t>
      </w:r>
      <w:r w:rsidR="00E265AF">
        <w:rPr>
          <w:lang w:val="sv-SE"/>
        </w:rPr>
        <w:t>socialtjänst och hälso- och sjuk</w:t>
      </w:r>
      <w:r w:rsidRPr="00E80DD3">
        <w:rPr>
          <w:lang w:val="sv-SE"/>
        </w:rPr>
        <w:t>vård på rätt nivå</w:t>
      </w:r>
      <w:r w:rsidR="00E82FE2" w:rsidRPr="00E80DD3">
        <w:rPr>
          <w:lang w:val="sv-SE"/>
        </w:rPr>
        <w:t xml:space="preserve"> och</w:t>
      </w:r>
      <w:r w:rsidR="008E6FD7" w:rsidRPr="00E80DD3">
        <w:rPr>
          <w:lang w:val="sv-SE"/>
        </w:rPr>
        <w:t xml:space="preserve"> </w:t>
      </w:r>
      <w:r w:rsidRPr="00E80DD3">
        <w:rPr>
          <w:lang w:val="sv-SE"/>
        </w:rPr>
        <w:t xml:space="preserve">utifrån sitt </w:t>
      </w:r>
      <w:r w:rsidR="008E6FD7" w:rsidRPr="00E80DD3">
        <w:rPr>
          <w:lang w:val="sv-SE"/>
        </w:rPr>
        <w:t xml:space="preserve">individuella </w:t>
      </w:r>
      <w:r w:rsidRPr="00E80DD3">
        <w:rPr>
          <w:lang w:val="sv-SE"/>
        </w:rPr>
        <w:t>behov</w:t>
      </w:r>
      <w:r w:rsidR="00E82FE2" w:rsidRPr="00E80DD3">
        <w:rPr>
          <w:lang w:val="sv-SE"/>
        </w:rPr>
        <w:t>.</w:t>
      </w:r>
      <w:r w:rsidRPr="00E80DD3">
        <w:rPr>
          <w:lang w:val="sv-SE"/>
        </w:rPr>
        <w:t xml:space="preserve"> </w:t>
      </w:r>
      <w:r w:rsidR="008B206A">
        <w:rPr>
          <w:lang w:val="sv-SE"/>
        </w:rPr>
        <w:t>Parternas a</w:t>
      </w:r>
      <w:r w:rsidR="008B206A">
        <w:t>nsvar</w:t>
      </w:r>
      <w:r w:rsidR="008B206A">
        <w:rPr>
          <w:lang w:val="sv-SE"/>
        </w:rPr>
        <w:t xml:space="preserve"> för olika </w:t>
      </w:r>
      <w:r w:rsidR="00166E8B">
        <w:rPr>
          <w:lang w:val="sv-SE"/>
        </w:rPr>
        <w:t>personer</w:t>
      </w:r>
      <w:r w:rsidR="008B206A">
        <w:rPr>
          <w:lang w:val="sv-SE"/>
        </w:rPr>
        <w:t xml:space="preserve"> beskrivs i </w:t>
      </w:r>
      <w:r w:rsidR="008B206A">
        <w:t>huvudavtalet.</w:t>
      </w:r>
      <w:r w:rsidR="008B206A">
        <w:rPr>
          <w:lang w:val="sv-SE"/>
        </w:rPr>
        <w:t xml:space="preserve"> </w:t>
      </w:r>
    </w:p>
    <w:p w14:paraId="5AA3FA03" w14:textId="77777777" w:rsidR="008B206A" w:rsidRDefault="008B206A" w:rsidP="008B206A">
      <w:pPr>
        <w:pStyle w:val="Brdtext-RJH"/>
        <w:rPr>
          <w:lang w:val="sv-SE"/>
        </w:rPr>
      </w:pPr>
    </w:p>
    <w:p w14:paraId="5FBB20F3" w14:textId="77777777" w:rsidR="008B206A" w:rsidRDefault="00277292" w:rsidP="008B206A">
      <w:pPr>
        <w:pStyle w:val="Brdtext-RJH"/>
        <w:rPr>
          <w:lang w:val="sv-SE"/>
        </w:rPr>
      </w:pPr>
      <w:r>
        <w:rPr>
          <w:lang w:val="sv-SE"/>
        </w:rPr>
        <w:t>Parterna delar målsättningen</w:t>
      </w:r>
      <w:r w:rsidR="008B206A">
        <w:rPr>
          <w:lang w:val="sv-SE"/>
        </w:rPr>
        <w:t xml:space="preserve"> att alla </w:t>
      </w:r>
      <w:r w:rsidR="00166E8B">
        <w:rPr>
          <w:lang w:val="sv-SE"/>
        </w:rPr>
        <w:t>personer</w:t>
      </w:r>
      <w:r w:rsidR="008B206A">
        <w:rPr>
          <w:lang w:val="sv-SE"/>
        </w:rPr>
        <w:t xml:space="preserve"> ska få möjlighet att komma hem från sjukhuset samma dag som de är hemgångsklara, och att inga ekonomiska ersättningar mellan ko</w:t>
      </w:r>
      <w:r w:rsidR="00FA2B7E">
        <w:rPr>
          <w:lang w:val="sv-SE"/>
        </w:rPr>
        <w:t>mmun och region ska behöva ske, och att detta ska ske med sådan kvalitet att återinskrivningar i slutenvård undviks.</w:t>
      </w:r>
    </w:p>
    <w:p w14:paraId="28EBFEA5" w14:textId="661DE992" w:rsidR="00600053" w:rsidRPr="008B206A" w:rsidRDefault="00E80DD3" w:rsidP="008B206A">
      <w:pPr>
        <w:pStyle w:val="Rubrik2"/>
      </w:pPr>
      <w:r w:rsidRPr="008B206A">
        <w:t xml:space="preserve">Samverkan </w:t>
      </w:r>
    </w:p>
    <w:p w14:paraId="0094B6CB" w14:textId="656F79B0" w:rsidR="00012DA5" w:rsidRDefault="00E80DD3" w:rsidP="00E80DD3">
      <w:pPr>
        <w:pStyle w:val="Brdtext-RJH"/>
        <w:rPr>
          <w:lang w:val="sv-SE"/>
        </w:rPr>
      </w:pPr>
      <w:r>
        <w:rPr>
          <w:lang w:val="sv-SE"/>
        </w:rPr>
        <w:t xml:space="preserve">Regionen ansvarar för att </w:t>
      </w:r>
      <w:r w:rsidRPr="00277292">
        <w:rPr>
          <w:b/>
          <w:lang w:val="sv-SE"/>
        </w:rPr>
        <w:t>skicka inskrivningsmeddelande</w:t>
      </w:r>
      <w:r>
        <w:rPr>
          <w:lang w:val="sv-SE"/>
        </w:rPr>
        <w:t xml:space="preserve"> till </w:t>
      </w:r>
      <w:r w:rsidR="00C27B7A" w:rsidRPr="00A579CA">
        <w:t>berörda enheter</w:t>
      </w:r>
      <w:r>
        <w:rPr>
          <w:lang w:val="sv-SE"/>
        </w:rPr>
        <w:t xml:space="preserve"> </w:t>
      </w:r>
      <w:r w:rsidR="001B4BE3" w:rsidRPr="00A579CA">
        <w:t xml:space="preserve">inom </w:t>
      </w:r>
      <w:r w:rsidR="006A2CD3">
        <w:br/>
      </w:r>
      <w:r w:rsidR="001B4BE3" w:rsidRPr="00A579CA">
        <w:t>24 timmar efter inskrivning i slutenvård</w:t>
      </w:r>
      <w:r w:rsidR="008B206A">
        <w:rPr>
          <w:lang w:val="sv-SE"/>
        </w:rPr>
        <w:t xml:space="preserve">, inklusive planerat datum för </w:t>
      </w:r>
      <w:r w:rsidR="00166E8B">
        <w:rPr>
          <w:lang w:val="sv-SE"/>
        </w:rPr>
        <w:t>personens</w:t>
      </w:r>
      <w:r w:rsidR="008B206A">
        <w:rPr>
          <w:lang w:val="sv-SE"/>
        </w:rPr>
        <w:t xml:space="preserve"> hemgång.</w:t>
      </w:r>
      <w:r w:rsidR="00012DA5">
        <w:rPr>
          <w:lang w:val="sv-SE"/>
        </w:rPr>
        <w:t xml:space="preserve"> </w:t>
      </w:r>
    </w:p>
    <w:p w14:paraId="64353BB9" w14:textId="77777777" w:rsidR="00C22B5A" w:rsidRDefault="00C22B5A" w:rsidP="00E80DD3">
      <w:pPr>
        <w:pStyle w:val="Brdtext-RJH"/>
        <w:rPr>
          <w:lang w:val="sv-SE"/>
        </w:rPr>
      </w:pPr>
    </w:p>
    <w:p w14:paraId="694107F7" w14:textId="2A75CCF1" w:rsidR="0006168A" w:rsidRDefault="00C22B5A" w:rsidP="00E80DD3">
      <w:pPr>
        <w:pStyle w:val="Brdtext-RJH"/>
      </w:pPr>
      <w:r w:rsidRPr="00FA2B7E">
        <w:rPr>
          <w:lang w:val="sv-SE"/>
        </w:rPr>
        <w:t>V</w:t>
      </w:r>
      <w:r w:rsidR="00012DA5" w:rsidRPr="00FA2B7E">
        <w:rPr>
          <w:lang w:val="sv-SE"/>
        </w:rPr>
        <w:t>ardagar</w:t>
      </w:r>
      <w:r w:rsidRPr="00FA2B7E">
        <w:rPr>
          <w:lang w:val="sv-SE"/>
        </w:rPr>
        <w:t xml:space="preserve"> dagtid </w:t>
      </w:r>
      <w:r w:rsidR="00F25E5D" w:rsidRPr="00FA2B7E">
        <w:rPr>
          <w:lang w:val="sv-SE"/>
        </w:rPr>
        <w:t xml:space="preserve">08:00 – 17:00 </w:t>
      </w:r>
      <w:r w:rsidRPr="00FA2B7E">
        <w:rPr>
          <w:lang w:val="sv-SE"/>
        </w:rPr>
        <w:t xml:space="preserve">ska regionens öppna vård och berörda enheter inom </w:t>
      </w:r>
      <w:r w:rsidR="00F914D6">
        <w:rPr>
          <w:lang w:val="sv-SE"/>
        </w:rPr>
        <w:t>k</w:t>
      </w:r>
      <w:r w:rsidRPr="00FA2B7E">
        <w:rPr>
          <w:lang w:val="sv-SE"/>
        </w:rPr>
        <w:t>ommunen ta emot inskrivningsmeddelande och starta planeringsprocessen.</w:t>
      </w:r>
      <w:r w:rsidR="00012DA5" w:rsidRPr="00FA2B7E">
        <w:rPr>
          <w:lang w:val="sv-SE"/>
        </w:rPr>
        <w:t xml:space="preserve"> </w:t>
      </w:r>
      <w:r w:rsidRPr="00FA2B7E">
        <w:rPr>
          <w:lang w:val="sv-SE"/>
        </w:rPr>
        <w:t>När</w:t>
      </w:r>
      <w:r w:rsidR="00012DA5" w:rsidRPr="00FA2B7E">
        <w:rPr>
          <w:lang w:val="sv-SE"/>
        </w:rPr>
        <w:t xml:space="preserve"> helger sträcker sig över mer än 2 dagar ska </w:t>
      </w:r>
      <w:r w:rsidRPr="00FA2B7E">
        <w:rPr>
          <w:lang w:val="sv-SE"/>
        </w:rPr>
        <w:t>inskrivningsmeddelade tas emot och planering påbörjas den 3:e dagen.</w:t>
      </w:r>
      <w:r w:rsidR="001B4BE3">
        <w:br/>
      </w:r>
    </w:p>
    <w:p w14:paraId="7EDB7946" w14:textId="77777777" w:rsidR="00BF2724" w:rsidRPr="00A579CA" w:rsidRDefault="00BF2724" w:rsidP="00E80DD3">
      <w:pPr>
        <w:pStyle w:val="Brdtext-RJH"/>
      </w:pPr>
      <w:r w:rsidRPr="00A579CA">
        <w:lastRenderedPageBreak/>
        <w:t xml:space="preserve">Utifrån personens behov ansvarar samtliga berörda yrkeskategorier </w:t>
      </w:r>
      <w:r w:rsidR="00AF4C74" w:rsidRPr="00A579CA">
        <w:t xml:space="preserve">hos samtliga huvudmän </w:t>
      </w:r>
      <w:r w:rsidRPr="00A579CA">
        <w:t xml:space="preserve">för att </w:t>
      </w:r>
      <w:r w:rsidRPr="00277292">
        <w:rPr>
          <w:b/>
        </w:rPr>
        <w:t>påbörja planering inför hemgång</w:t>
      </w:r>
      <w:r w:rsidR="00E80DD3">
        <w:rPr>
          <w:i/>
          <w:lang w:val="sv-SE"/>
        </w:rPr>
        <w:t xml:space="preserve">. </w:t>
      </w:r>
      <w:r w:rsidR="00AF4C74" w:rsidRPr="00A579CA">
        <w:t>Regionens öppna vård ansvarar för att fast vårdkontakt utses.</w:t>
      </w:r>
      <w:r w:rsidR="00C7330A" w:rsidRPr="00C7330A">
        <w:t xml:space="preserve"> </w:t>
      </w:r>
      <w:r w:rsidR="00C7330A" w:rsidRPr="00A579CA">
        <w:t xml:space="preserve">Om flera fasta vårdkontakter finns ska en samordnare tydliggöras. </w:t>
      </w:r>
    </w:p>
    <w:p w14:paraId="44C87DDF" w14:textId="77777777" w:rsidR="00166E8B" w:rsidRPr="00166E8B" w:rsidRDefault="0022158A" w:rsidP="00166E8B">
      <w:pPr>
        <w:rPr>
          <w:rFonts w:ascii="Georgia" w:hAnsi="Georgia"/>
        </w:rPr>
      </w:pPr>
      <w:r>
        <w:br/>
      </w:r>
      <w:r w:rsidR="00166E8B" w:rsidRPr="00166E8B">
        <w:rPr>
          <w:rFonts w:ascii="Georgia" w:hAnsi="Georgia"/>
        </w:rPr>
        <w:t>När</w:t>
      </w:r>
      <w:r w:rsidR="00166E8B">
        <w:t xml:space="preserve"> d</w:t>
      </w:r>
      <w:r w:rsidR="00166E8B" w:rsidRPr="00166E8B">
        <w:rPr>
          <w:rFonts w:ascii="Georgia" w:hAnsi="Georgia"/>
        </w:rPr>
        <w:t xml:space="preserve">en behandlande läkaren har bedömt att </w:t>
      </w:r>
      <w:r w:rsidR="00166E8B">
        <w:rPr>
          <w:rFonts w:ascii="Georgia" w:hAnsi="Georgia"/>
        </w:rPr>
        <w:t>person</w:t>
      </w:r>
      <w:r w:rsidR="00166E8B" w:rsidRPr="00166E8B">
        <w:rPr>
          <w:rFonts w:ascii="Georgia" w:hAnsi="Georgia"/>
        </w:rPr>
        <w:t xml:space="preserve">en inte längre behöver vård vid en enhet inom den </w:t>
      </w:r>
      <w:r w:rsidR="00166E8B" w:rsidRPr="00012DA5">
        <w:rPr>
          <w:rFonts w:ascii="Georgia" w:hAnsi="Georgia"/>
        </w:rPr>
        <w:t>slutna vården och</w:t>
      </w:r>
      <w:r w:rsidR="00166E8B" w:rsidRPr="00166E8B">
        <w:rPr>
          <w:rFonts w:ascii="Georgia" w:hAnsi="Georgia"/>
        </w:rPr>
        <w:t xml:space="preserve"> slutenvården </w:t>
      </w:r>
      <w:r w:rsidR="00166E8B" w:rsidRPr="00166E8B">
        <w:rPr>
          <w:rFonts w:ascii="Georgia" w:hAnsi="Georgia"/>
          <w:b/>
        </w:rPr>
        <w:t>meddelar att p</w:t>
      </w:r>
      <w:r w:rsidR="00166E8B">
        <w:rPr>
          <w:rFonts w:ascii="Georgia" w:hAnsi="Georgia"/>
          <w:b/>
        </w:rPr>
        <w:t>erson</w:t>
      </w:r>
      <w:r w:rsidR="00166E8B" w:rsidRPr="00166E8B">
        <w:rPr>
          <w:rFonts w:ascii="Georgia" w:hAnsi="Georgia"/>
          <w:b/>
        </w:rPr>
        <w:t>en är utskrivningsklar</w:t>
      </w:r>
      <w:r w:rsidR="00166E8B" w:rsidRPr="00166E8B">
        <w:rPr>
          <w:rFonts w:ascii="Georgia" w:hAnsi="Georgia"/>
        </w:rPr>
        <w:t xml:space="preserve"> ska </w:t>
      </w:r>
      <w:r w:rsidR="00166E8B">
        <w:rPr>
          <w:rFonts w:ascii="Georgia" w:hAnsi="Georgia"/>
        </w:rPr>
        <w:t>denne</w:t>
      </w:r>
      <w:r w:rsidR="00012DA5">
        <w:rPr>
          <w:rFonts w:ascii="Georgia" w:hAnsi="Georgia"/>
        </w:rPr>
        <w:t xml:space="preserve"> kunna lämna slutenvården</w:t>
      </w:r>
      <w:r w:rsidR="00166E8B" w:rsidRPr="00166E8B">
        <w:rPr>
          <w:rFonts w:ascii="Georgia" w:hAnsi="Georgia"/>
        </w:rPr>
        <w:t>.</w:t>
      </w:r>
    </w:p>
    <w:p w14:paraId="5A91AF33" w14:textId="77777777" w:rsidR="00166E8B" w:rsidRPr="00166E8B" w:rsidRDefault="00166E8B" w:rsidP="00166E8B">
      <w:pPr>
        <w:pStyle w:val="Brdtext-RJH"/>
      </w:pPr>
    </w:p>
    <w:p w14:paraId="21FB138B" w14:textId="77777777" w:rsidR="00166E8B" w:rsidRPr="00166E8B" w:rsidRDefault="00166E8B" w:rsidP="00166E8B">
      <w:pPr>
        <w:pStyle w:val="Brdtext-RJH"/>
      </w:pPr>
      <w:r w:rsidRPr="00166E8B">
        <w:t xml:space="preserve"> Det innebär att </w:t>
      </w:r>
      <w:r w:rsidRPr="00166E8B">
        <w:rPr>
          <w:b/>
        </w:rPr>
        <w:t xml:space="preserve">checklista för </w:t>
      </w:r>
      <w:r w:rsidR="00012DA5" w:rsidRPr="00FA2B7E">
        <w:rPr>
          <w:b/>
          <w:lang w:val="sv-SE"/>
        </w:rPr>
        <w:t>hemgångsklar</w:t>
      </w:r>
      <w:r w:rsidRPr="00FA2B7E">
        <w:t xml:space="preserve"> ska</w:t>
      </w:r>
      <w:r w:rsidRPr="00166E8B">
        <w:t xml:space="preserve"> vara klar. </w:t>
      </w:r>
    </w:p>
    <w:p w14:paraId="38297112" w14:textId="77777777" w:rsidR="00166E8B" w:rsidRPr="00E70988" w:rsidRDefault="00166E8B" w:rsidP="00166E8B">
      <w:pPr>
        <w:rPr>
          <w:rFonts w:ascii="Georgia" w:eastAsia="Times New Roman" w:hAnsi="Georgia" w:cs="Times New Roman"/>
          <w:color w:val="000000"/>
          <w:szCs w:val="20"/>
          <w:lang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eastAsia="sv-SE"/>
        </w:rPr>
        <w:t> </w:t>
      </w:r>
    </w:p>
    <w:p w14:paraId="28E39482" w14:textId="77777777" w:rsidR="00166E8B" w:rsidRPr="00E70988" w:rsidRDefault="00166E8B" w:rsidP="00166E8B">
      <w:pPr>
        <w:rPr>
          <w:rFonts w:ascii="Georgia" w:eastAsia="Times New Roman" w:hAnsi="Georgia" w:cs="Times New Roman"/>
          <w:color w:val="000000"/>
          <w:szCs w:val="20"/>
          <w:lang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Hemgångsklar är ett nytt begrepp som innebär att: </w:t>
      </w:r>
    </w:p>
    <w:p w14:paraId="3DC51851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behandlande läkare har bedömt att personen är utskrivningsklar </w:t>
      </w:r>
    </w:p>
    <w:p w14:paraId="4D42B424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behandlande läkaren har tagi</w:t>
      </w:r>
      <w:r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t ställning till egenvård se</w:t>
      </w: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 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>bilaga 1 samt lokala rutiner</w:t>
      </w:r>
    </w:p>
    <w:p w14:paraId="1305A551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personen har fått skriftlig information inför hemgång </w:t>
      </w:r>
    </w:p>
    <w:p w14:paraId="5AA3DEE7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i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fast vårdkontakt har utsetts av regionens öppna vård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</w:t>
      </w:r>
    </w:p>
    <w:p w14:paraId="5BAB32E3" w14:textId="77777777" w:rsidR="00012DA5" w:rsidRDefault="00166E8B" w:rsidP="00BD5238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nödvändig information har överförts till de enheter som har fått ett inskrivningsmeddelande </w:t>
      </w:r>
    </w:p>
    <w:p w14:paraId="51CC08AE" w14:textId="77777777" w:rsidR="00166E8B" w:rsidRPr="000C6967" w:rsidRDefault="00166E8B" w:rsidP="00BD5238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nödvändiga hjälpmedel och medicinteknisk </w:t>
      </w:r>
      <w:r w:rsidR="00400CDB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utrustning är tillgängliga för </w:t>
      </w:r>
      <w:r w:rsidR="00400CDB" w:rsidRPr="000C6967">
        <w:rPr>
          <w:rFonts w:ascii="Georgia" w:eastAsia="Times New Roman" w:hAnsi="Georgia" w:cs="Times New Roman"/>
          <w:color w:val="000000"/>
          <w:szCs w:val="20"/>
          <w:lang w:eastAsia="sv-SE"/>
        </w:rPr>
        <w:t>personen</w:t>
      </w: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, se bilaga 8  </w:t>
      </w:r>
    </w:p>
    <w:p w14:paraId="1B75C95D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 xml:space="preserve">nödvändiga </w:t>
      </w:r>
      <w:r w:rsidRPr="00FA2B7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>l</w:t>
      </w:r>
      <w:r w:rsidRPr="00FA2B7E">
        <w:rPr>
          <w:rFonts w:ascii="Georgia" w:eastAsia="Times New Roman" w:hAnsi="Georgia" w:cs="Times New Roman"/>
          <w:iCs/>
          <w:color w:val="000000"/>
          <w:szCs w:val="20"/>
          <w:lang w:val="la-Latn" w:eastAsia="sv-SE"/>
        </w:rPr>
        <w:t>äkemedel</w:t>
      </w:r>
      <w:r w:rsidR="00C22B5A" w:rsidRPr="00FA2B7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 xml:space="preserve"> och recept</w:t>
      </w:r>
      <w:r w:rsidRPr="00FA2B7E">
        <w:rPr>
          <w:rFonts w:ascii="Georgia" w:eastAsia="Times New Roman" w:hAnsi="Georgia" w:cs="Times New Roman"/>
          <w:iCs/>
          <w:color w:val="000000"/>
          <w:szCs w:val="20"/>
          <w:lang w:val="la-Latn" w:eastAsia="sv-SE"/>
        </w:rPr>
        <w:t xml:space="preserve"> </w:t>
      </w:r>
      <w:r w:rsidRPr="00FA2B7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>är tillgängliga</w:t>
      </w:r>
      <w:r>
        <w:rPr>
          <w:rFonts w:ascii="Georgia" w:eastAsia="Times New Roman" w:hAnsi="Georgia" w:cs="Times New Roman"/>
          <w:i/>
          <w:iCs/>
          <w:color w:val="000000"/>
          <w:szCs w:val="20"/>
          <w:lang w:eastAsia="sv-SE"/>
        </w:rPr>
        <w:t xml:space="preserve"> </w:t>
      </w:r>
    </w:p>
    <w:p w14:paraId="10BAB993" w14:textId="77777777" w:rsidR="00166E8B" w:rsidRDefault="00166E8B" w:rsidP="00166E8B">
      <w:pPr>
        <w:pStyle w:val="Brdtext-RJH"/>
        <w:rPr>
          <w:lang w:val="sv-SE"/>
        </w:rPr>
      </w:pPr>
    </w:p>
    <w:p w14:paraId="666DE623" w14:textId="77777777" w:rsidR="00012DA5" w:rsidRPr="00FA2B7E" w:rsidRDefault="00012DA5" w:rsidP="00012DA5">
      <w:pPr>
        <w:pStyle w:val="Brdtext-RJH"/>
        <w:rPr>
          <w:lang w:val="sv-SE"/>
        </w:rPr>
      </w:pPr>
      <w:r w:rsidRPr="00FA2B7E">
        <w:rPr>
          <w:lang w:val="sv-SE"/>
        </w:rPr>
        <w:t>Planerad utskrivning från slutenvården sker mellan klockan 07:00 – 17:00 veckans alla dagar.</w:t>
      </w:r>
    </w:p>
    <w:p w14:paraId="2122AD3A" w14:textId="77777777" w:rsidR="00012DA5" w:rsidRDefault="00012DA5" w:rsidP="00012DA5">
      <w:pPr>
        <w:pStyle w:val="Brdtext-RJH"/>
        <w:rPr>
          <w:highlight w:val="yellow"/>
          <w:lang w:val="sv-SE"/>
        </w:rPr>
      </w:pPr>
    </w:p>
    <w:p w14:paraId="4A5C3BBF" w14:textId="1B2E02FC" w:rsidR="00277292" w:rsidRDefault="008B206A" w:rsidP="00277292">
      <w:pPr>
        <w:pStyle w:val="Brdtext-RJH"/>
      </w:pPr>
      <w:r>
        <w:rPr>
          <w:lang w:val="sv-SE"/>
        </w:rPr>
        <w:t>F</w:t>
      </w:r>
      <w:r w:rsidR="00A46603" w:rsidRPr="00A579CA">
        <w:t>ast vår</w:t>
      </w:r>
      <w:r w:rsidR="00092A81">
        <w:t>dkontakt ansvarar för att inom tre</w:t>
      </w:r>
      <w:r w:rsidR="00A46603" w:rsidRPr="00A579CA">
        <w:t xml:space="preserve"> dagar från meddelande om utskrivningsklar </w:t>
      </w:r>
      <w:r w:rsidR="00A46603" w:rsidRPr="00277292">
        <w:rPr>
          <w:b/>
        </w:rPr>
        <w:t xml:space="preserve">kalla till </w:t>
      </w:r>
      <w:r w:rsidR="00051B26">
        <w:rPr>
          <w:b/>
          <w:lang w:val="sv-SE"/>
        </w:rPr>
        <w:t xml:space="preserve">samordnad individuell plan </w:t>
      </w:r>
      <w:r w:rsidR="00051B26" w:rsidRPr="00051B26">
        <w:rPr>
          <w:lang w:val="sv-SE"/>
        </w:rPr>
        <w:t>(SIP)</w:t>
      </w:r>
      <w:r w:rsidR="00A46603" w:rsidRPr="00051B26">
        <w:t xml:space="preserve"> </w:t>
      </w:r>
      <w:r w:rsidR="00A46603" w:rsidRPr="00A579CA">
        <w:t>enligt rutin</w:t>
      </w:r>
      <w:r w:rsidR="00051B26">
        <w:rPr>
          <w:lang w:val="sv-SE"/>
        </w:rPr>
        <w:t>/användarstöd</w:t>
      </w:r>
      <w:r w:rsidR="00092A81">
        <w:rPr>
          <w:lang w:val="sv-SE"/>
        </w:rPr>
        <w:t xml:space="preserve">. </w:t>
      </w:r>
      <w:r w:rsidR="00E265AF">
        <w:rPr>
          <w:lang w:val="sv-SE"/>
        </w:rPr>
        <w:t xml:space="preserve">Personen ska först erbjudas SIP innan berörda enheter kallas. </w:t>
      </w:r>
      <w:r w:rsidR="00781B7E" w:rsidRPr="00A579CA">
        <w:t>SIP ska genomföras när</w:t>
      </w:r>
      <w:r w:rsidR="00F914D6">
        <w:rPr>
          <w:lang w:val="sv-SE"/>
        </w:rPr>
        <w:t>/var</w:t>
      </w:r>
      <w:r w:rsidR="00781B7E" w:rsidRPr="00A579CA">
        <w:t xml:space="preserve"> det är </w:t>
      </w:r>
      <w:proofErr w:type="spellStart"/>
      <w:r w:rsidR="00F914D6">
        <w:rPr>
          <w:lang w:val="sv-SE"/>
        </w:rPr>
        <w:t>bäs</w:t>
      </w:r>
      <w:proofErr w:type="spellEnd"/>
      <w:r w:rsidR="00781B7E" w:rsidRPr="00A579CA">
        <w:t>t för personen.</w:t>
      </w:r>
    </w:p>
    <w:p w14:paraId="4F6CF8A2" w14:textId="77777777" w:rsidR="00166E8B" w:rsidRDefault="00166E8B" w:rsidP="00277292">
      <w:pPr>
        <w:pStyle w:val="Brdtext-RJH"/>
      </w:pPr>
    </w:p>
    <w:p w14:paraId="228B4E6C" w14:textId="77777777" w:rsidR="0076277B" w:rsidRPr="00E70988" w:rsidRDefault="000C6967" w:rsidP="0076277B">
      <w:pPr>
        <w:pStyle w:val="Brdtext-RJH"/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P</w:t>
      </w:r>
      <w:r w:rsidR="0076277B" w:rsidRPr="00E70988">
        <w:rPr>
          <w:rFonts w:eastAsia="Times New Roman" w:cs="Times New Roman"/>
          <w:color w:val="000000"/>
          <w:lang w:eastAsia="sv-SE"/>
        </w:rPr>
        <w:t>ersoner som ska skrivas ut till öppen psykiatrisk tvångsvård eller öppen rättspsykiatrisk vård ska ha en samordnad vårdplan</w:t>
      </w:r>
      <w:r w:rsidR="00AE3928">
        <w:rPr>
          <w:rStyle w:val="Fotnotsreferens"/>
        </w:rPr>
        <w:footnoteReference w:id="3"/>
      </w:r>
      <w:hyperlink r:id="rId8" w:anchor="_ftn1" w:history="1"/>
      <w:r w:rsidR="0076277B" w:rsidRPr="00E70988">
        <w:rPr>
          <w:rFonts w:eastAsia="Times New Roman" w:cs="Times New Roman"/>
          <w:color w:val="000000"/>
          <w:lang w:eastAsia="sv-SE"/>
        </w:rPr>
        <w:t xml:space="preserve"> innan </w:t>
      </w:r>
      <w:r w:rsidR="0076277B">
        <w:rPr>
          <w:rFonts w:eastAsia="Times New Roman" w:cs="Times New Roman"/>
          <w:color w:val="000000"/>
          <w:lang w:eastAsia="sv-SE"/>
        </w:rPr>
        <w:t>personen</w:t>
      </w:r>
      <w:r w:rsidR="0076277B" w:rsidRPr="00E70988">
        <w:rPr>
          <w:rFonts w:eastAsia="Times New Roman" w:cs="Times New Roman"/>
          <w:color w:val="000000"/>
          <w:lang w:eastAsia="sv-SE"/>
        </w:rPr>
        <w:t xml:space="preserve"> lämnar sjukhuset.</w:t>
      </w:r>
    </w:p>
    <w:p w14:paraId="554C4A78" w14:textId="77777777" w:rsidR="0076277B" w:rsidRPr="00E70988" w:rsidRDefault="0076277B" w:rsidP="0076277B">
      <w:pPr>
        <w:rPr>
          <w:rFonts w:ascii="Calibri" w:eastAsia="Times New Roman" w:hAnsi="Calibri" w:cs="Times New Roman"/>
          <w:color w:val="000000"/>
          <w:sz w:val="22"/>
          <w:lang w:eastAsia="sv-SE"/>
        </w:rPr>
      </w:pPr>
      <w:r w:rsidRPr="00E70988">
        <w:rPr>
          <w:rFonts w:ascii="Calibri" w:eastAsia="Times New Roman" w:hAnsi="Calibri" w:cs="Times New Roman"/>
          <w:color w:val="000000"/>
          <w:sz w:val="22"/>
          <w:lang w:eastAsia="sv-SE"/>
        </w:rPr>
        <w:t> </w:t>
      </w:r>
    </w:p>
    <w:p w14:paraId="6AD1B123" w14:textId="0A0273D9" w:rsidR="00AE3928" w:rsidRDefault="00AE3928" w:rsidP="00AE3928">
      <w:pPr>
        <w:pStyle w:val="Brdtext-RJH"/>
      </w:pPr>
      <w:r w:rsidRPr="0011362E">
        <w:t xml:space="preserve">Detta avtal är </w:t>
      </w:r>
      <w:r w:rsidR="00D34C1E">
        <w:rPr>
          <w:lang w:val="sv-SE"/>
        </w:rPr>
        <w:t xml:space="preserve">av </w:t>
      </w:r>
      <w:r w:rsidRPr="0011362E">
        <w:t>övergripande karaktär – varj</w:t>
      </w:r>
      <w:r>
        <w:t xml:space="preserve">e huvudman har ansvar för </w:t>
      </w:r>
      <w:r>
        <w:rPr>
          <w:lang w:val="sv-SE"/>
        </w:rPr>
        <w:t xml:space="preserve">att </w:t>
      </w:r>
      <w:r>
        <w:t>gemensamma</w:t>
      </w:r>
      <w:r w:rsidRPr="0011362E">
        <w:t xml:space="preserve"> riktlinjer</w:t>
      </w:r>
      <w:r>
        <w:rPr>
          <w:lang w:val="sv-SE"/>
        </w:rPr>
        <w:t xml:space="preserve"> följs </w:t>
      </w:r>
      <w:r w:rsidRPr="0011362E">
        <w:t xml:space="preserve"> som tillgodoser trygg </w:t>
      </w:r>
      <w:r>
        <w:t xml:space="preserve">och säker tillämpning. </w:t>
      </w:r>
    </w:p>
    <w:p w14:paraId="098579DD" w14:textId="1AF8AD20" w:rsidR="0076277B" w:rsidRDefault="0076277B" w:rsidP="0076277B">
      <w:pPr>
        <w:pStyle w:val="Brdtext-RJH"/>
        <w:rPr>
          <w:lang w:val="sv-SE"/>
        </w:rPr>
      </w:pPr>
      <w:r w:rsidRPr="00E80DD3">
        <w:rPr>
          <w:lang w:val="sv-SE"/>
        </w:rPr>
        <w:t>Sam</w:t>
      </w:r>
      <w:r>
        <w:rPr>
          <w:lang w:val="sv-SE"/>
        </w:rPr>
        <w:t>verkan</w:t>
      </w:r>
      <w:r w:rsidRPr="00E80DD3">
        <w:rPr>
          <w:lang w:val="sv-SE"/>
        </w:rPr>
        <w:t xml:space="preserve"> stöds av länsgemensam</w:t>
      </w:r>
      <w:r>
        <w:rPr>
          <w:lang w:val="sv-SE"/>
        </w:rPr>
        <w:t>ma</w:t>
      </w:r>
      <w:r w:rsidRPr="00E80DD3">
        <w:rPr>
          <w:lang w:val="sv-SE"/>
        </w:rPr>
        <w:t xml:space="preserve"> riktlinje</w:t>
      </w:r>
      <w:r>
        <w:rPr>
          <w:lang w:val="sv-SE"/>
        </w:rPr>
        <w:t>r</w:t>
      </w:r>
      <w:r w:rsidRPr="00E80DD3">
        <w:rPr>
          <w:lang w:val="sv-SE"/>
        </w:rPr>
        <w:t>.</w:t>
      </w:r>
      <w:bookmarkStart w:id="0" w:name="_GoBack"/>
      <w:bookmarkEnd w:id="0"/>
      <w:r w:rsidR="00FA2B7E">
        <w:rPr>
          <w:lang w:val="sv-SE"/>
        </w:rPr>
        <w:br/>
      </w:r>
      <w:r w:rsidRPr="00E80DD3">
        <w:rPr>
          <w:lang w:val="sv-SE"/>
        </w:rPr>
        <w:t xml:space="preserve">(se </w:t>
      </w:r>
      <w:hyperlink r:id="rId9" w:history="1">
        <w:r w:rsidR="00FA2B7E" w:rsidRPr="004400BD">
          <w:rPr>
            <w:rStyle w:val="Hyperlnk"/>
            <w:lang w:val="sv-SE"/>
          </w:rPr>
          <w:t>www.regionjh.se/samverkan</w:t>
        </w:r>
      </w:hyperlink>
      <w:r w:rsidRPr="00E80DD3">
        <w:rPr>
          <w:lang w:val="sv-SE"/>
        </w:rPr>
        <w:t>)</w:t>
      </w:r>
    </w:p>
    <w:p w14:paraId="60A0C75C" w14:textId="77777777" w:rsidR="00C722E5" w:rsidRPr="00A579CA" w:rsidRDefault="00C722E5" w:rsidP="00E82FE2">
      <w:pPr>
        <w:pStyle w:val="Rubrik2"/>
      </w:pPr>
      <w:r w:rsidRPr="00A579CA">
        <w:t>D</w:t>
      </w:r>
      <w:r w:rsidR="008B206A">
        <w:t>okumentation</w:t>
      </w:r>
    </w:p>
    <w:p w14:paraId="130CF77B" w14:textId="77777777" w:rsidR="00AE2C5A" w:rsidRDefault="007E5EB9" w:rsidP="00A579CA">
      <w:pPr>
        <w:pStyle w:val="Brdtext-RJH"/>
        <w:rPr>
          <w:lang w:val="sv-SE"/>
        </w:rPr>
      </w:pPr>
      <w:r w:rsidRPr="00A579CA">
        <w:t>Planering ska ske i ett gemensamt IT-stöd.</w:t>
      </w:r>
      <w:r w:rsidR="00410A34">
        <w:rPr>
          <w:lang w:val="sv-SE"/>
        </w:rPr>
        <w:t xml:space="preserve"> </w:t>
      </w:r>
      <w:r w:rsidR="00552F8D">
        <w:rPr>
          <w:lang w:val="sv-SE"/>
        </w:rPr>
        <w:t>D</w:t>
      </w:r>
      <w:r w:rsidR="00410A34">
        <w:rPr>
          <w:lang w:val="sv-SE"/>
        </w:rPr>
        <w:t xml:space="preserve">okumentation </w:t>
      </w:r>
      <w:r w:rsidR="00552F8D">
        <w:rPr>
          <w:lang w:val="sv-SE"/>
        </w:rPr>
        <w:t xml:space="preserve">knuten till den enskilde </w:t>
      </w:r>
      <w:r w:rsidR="00410A34">
        <w:rPr>
          <w:lang w:val="sv-SE"/>
        </w:rPr>
        <w:t>sker i respektive huvudmans journalsystem.</w:t>
      </w:r>
    </w:p>
    <w:p w14:paraId="737EE21A" w14:textId="77777777" w:rsidR="00654F6A" w:rsidRPr="00A579CA" w:rsidRDefault="008B206A" w:rsidP="00E82FE2">
      <w:pPr>
        <w:pStyle w:val="Rubrik2"/>
      </w:pPr>
      <w:r>
        <w:t>Ekonomisk reglering</w:t>
      </w:r>
    </w:p>
    <w:p w14:paraId="65B4F707" w14:textId="77777777" w:rsidR="00AE3928" w:rsidRDefault="00AE3928" w:rsidP="00AE3928">
      <w:pPr>
        <w:pStyle w:val="Brdtext-RJH"/>
        <w:rPr>
          <w:lang w:val="sv-SE"/>
        </w:rPr>
      </w:pPr>
      <w:r w:rsidRPr="008B206A">
        <w:rPr>
          <w:lang w:val="sv-SE"/>
        </w:rPr>
        <w:t xml:space="preserve">När </w:t>
      </w:r>
      <w:r>
        <w:rPr>
          <w:lang w:val="sv-SE"/>
        </w:rPr>
        <w:t xml:space="preserve">denna </w:t>
      </w:r>
      <w:r w:rsidRPr="008B206A">
        <w:rPr>
          <w:lang w:val="sv-SE"/>
        </w:rPr>
        <w:t xml:space="preserve">överenskommelse har trätt i kraft är parterna överens om att kommunernas ersättning till </w:t>
      </w:r>
      <w:r>
        <w:rPr>
          <w:lang w:val="sv-SE"/>
        </w:rPr>
        <w:t>Region Jämtland Härjedalen</w:t>
      </w:r>
      <w:r w:rsidRPr="008B206A">
        <w:rPr>
          <w:lang w:val="sv-SE"/>
        </w:rPr>
        <w:t xml:space="preserve"> för utskrivningsklara </w:t>
      </w:r>
      <w:r>
        <w:rPr>
          <w:lang w:val="sv-SE"/>
        </w:rPr>
        <w:t>personer</w:t>
      </w:r>
      <w:r w:rsidRPr="008B206A">
        <w:rPr>
          <w:lang w:val="sv-SE"/>
        </w:rPr>
        <w:t xml:space="preserve"> på individnivå enligt betalningsansvarslagen upphör.</w:t>
      </w:r>
    </w:p>
    <w:p w14:paraId="6A75C3D9" w14:textId="77777777" w:rsidR="00AE3928" w:rsidRPr="008B206A" w:rsidRDefault="00AE3928" w:rsidP="00AE3928">
      <w:pPr>
        <w:pStyle w:val="Brdtext-RJH"/>
        <w:rPr>
          <w:lang w:val="sv-SE"/>
        </w:rPr>
      </w:pPr>
    </w:p>
    <w:p w14:paraId="7ACCBEE0" w14:textId="1BC384FF" w:rsidR="009E3D04" w:rsidRPr="009E3D04" w:rsidRDefault="009E3D04" w:rsidP="008B206A">
      <w:pPr>
        <w:pStyle w:val="Brdtext-RJH"/>
        <w:rPr>
          <w:b/>
          <w:lang w:val="sv-SE"/>
        </w:rPr>
      </w:pPr>
      <w:r w:rsidRPr="009E3D04">
        <w:rPr>
          <w:b/>
          <w:lang w:val="sv-SE"/>
        </w:rPr>
        <w:lastRenderedPageBreak/>
        <w:t>Grunden</w:t>
      </w:r>
    </w:p>
    <w:p w14:paraId="5CAE0A3C" w14:textId="4E6B475B" w:rsidR="006A2CD3" w:rsidRDefault="00FA2B7E" w:rsidP="008B206A">
      <w:pPr>
        <w:pStyle w:val="Brdtext-RJH"/>
        <w:rPr>
          <w:lang w:val="sv-SE"/>
        </w:rPr>
      </w:pPr>
      <w:r>
        <w:rPr>
          <w:lang w:val="sv-SE"/>
        </w:rPr>
        <w:t xml:space="preserve">Parterna är överens om att patienter ska kunna få komma hem från sjukhuset dag </w:t>
      </w:r>
      <w:r w:rsidR="00683253">
        <w:rPr>
          <w:lang w:val="sv-SE"/>
        </w:rPr>
        <w:t>noll</w:t>
      </w:r>
      <w:r>
        <w:rPr>
          <w:lang w:val="sv-SE"/>
        </w:rPr>
        <w:t xml:space="preserve"> </w:t>
      </w:r>
      <w:r w:rsidR="00AE3928">
        <w:rPr>
          <w:rStyle w:val="Fotnotsreferens"/>
          <w:lang w:val="sv-SE"/>
        </w:rPr>
        <w:footnoteReference w:id="4"/>
      </w:r>
      <w:r w:rsidR="009E3D04">
        <w:rPr>
          <w:lang w:val="sv-SE"/>
        </w:rPr>
        <w:t xml:space="preserve"> och att d</w:t>
      </w:r>
      <w:r>
        <w:rPr>
          <w:lang w:val="sv-SE"/>
        </w:rPr>
        <w:t>å s</w:t>
      </w:r>
      <w:r w:rsidR="00AE3928">
        <w:rPr>
          <w:lang w:val="sv-SE"/>
        </w:rPr>
        <w:t xml:space="preserve">ker ingen ekonomisk ersättning. </w:t>
      </w:r>
    </w:p>
    <w:p w14:paraId="36D1FA96" w14:textId="77777777" w:rsidR="009E3D04" w:rsidRDefault="009E3D04" w:rsidP="008B206A">
      <w:pPr>
        <w:pStyle w:val="Brdtext-RJH"/>
        <w:rPr>
          <w:lang w:val="sv-SE"/>
        </w:rPr>
      </w:pPr>
    </w:p>
    <w:p w14:paraId="30871F10" w14:textId="4D680BC3" w:rsidR="009E3D04" w:rsidRPr="009E3D04" w:rsidRDefault="009E3D04" w:rsidP="008B206A">
      <w:pPr>
        <w:pStyle w:val="Brdtext-RJH"/>
        <w:rPr>
          <w:b/>
          <w:lang w:val="sv-SE"/>
        </w:rPr>
      </w:pPr>
      <w:r w:rsidRPr="009E3D04">
        <w:rPr>
          <w:b/>
          <w:lang w:val="sv-SE"/>
        </w:rPr>
        <w:t>När grunden inte kan uppnås</w:t>
      </w:r>
      <w:r w:rsidR="00683253">
        <w:rPr>
          <w:b/>
          <w:lang w:val="sv-SE"/>
        </w:rPr>
        <w:t>, och analys av det</w:t>
      </w:r>
    </w:p>
    <w:p w14:paraId="42E742C9" w14:textId="7509F660" w:rsidR="00AE3928" w:rsidRDefault="00AE3928" w:rsidP="008B206A">
      <w:pPr>
        <w:pStyle w:val="Brdtext-RJH"/>
        <w:rPr>
          <w:lang w:val="sv-SE"/>
        </w:rPr>
      </w:pPr>
      <w:r>
        <w:rPr>
          <w:lang w:val="sv-SE"/>
        </w:rPr>
        <w:t>E</w:t>
      </w:r>
      <w:r w:rsidR="00BD7E94" w:rsidRPr="008B206A">
        <w:rPr>
          <w:lang w:val="sv-SE"/>
        </w:rPr>
        <w:t xml:space="preserve">konomisk reglering inträder </w:t>
      </w:r>
      <w:r>
        <w:rPr>
          <w:lang w:val="sv-SE"/>
        </w:rPr>
        <w:t xml:space="preserve">dock </w:t>
      </w:r>
      <w:r w:rsidR="00BD7E94" w:rsidRPr="008B206A">
        <w:rPr>
          <w:lang w:val="sv-SE"/>
        </w:rPr>
        <w:t xml:space="preserve">om det genomsnittliga antalet dagar i sluten vård </w:t>
      </w:r>
      <w:r w:rsidR="00BD7E94" w:rsidRPr="00AE3928">
        <w:rPr>
          <w:lang w:val="sv-SE"/>
        </w:rPr>
        <w:t xml:space="preserve">efter </w:t>
      </w:r>
      <w:r w:rsidR="00277292" w:rsidRPr="00AE3928">
        <w:rPr>
          <w:lang w:val="sv-SE"/>
        </w:rPr>
        <w:t>hemgångsklar</w:t>
      </w:r>
      <w:r w:rsidR="00BD7E94" w:rsidRPr="00AE3928">
        <w:rPr>
          <w:lang w:val="sv-SE"/>
        </w:rPr>
        <w:t xml:space="preserve"> överskrider tre kalenderdagar</w:t>
      </w:r>
      <w:r w:rsidR="006A2CD3">
        <w:rPr>
          <w:lang w:val="sv-SE"/>
        </w:rPr>
        <w:t xml:space="preserve"> </w:t>
      </w:r>
      <w:r w:rsidR="00BD7E94" w:rsidRPr="00AE3928">
        <w:rPr>
          <w:lang w:val="sv-SE"/>
        </w:rPr>
        <w:t>under tre månader i följd</w:t>
      </w:r>
      <w:r w:rsidR="00F25E5D" w:rsidRPr="00AE3928">
        <w:rPr>
          <w:lang w:val="sv-SE"/>
        </w:rPr>
        <w:t>, enligt beräkningsmodell i IT-stödet</w:t>
      </w:r>
      <w:r w:rsidR="00BD7E94" w:rsidRPr="00AE3928">
        <w:rPr>
          <w:lang w:val="sv-SE"/>
        </w:rPr>
        <w:t xml:space="preserve">. </w:t>
      </w:r>
    </w:p>
    <w:p w14:paraId="3CF9E286" w14:textId="77777777" w:rsidR="00CE3FC2" w:rsidRDefault="00CE3FC2" w:rsidP="008B206A">
      <w:pPr>
        <w:pStyle w:val="Brdtext-RJH"/>
        <w:rPr>
          <w:highlight w:val="yellow"/>
          <w:lang w:val="sv-SE"/>
        </w:rPr>
      </w:pPr>
    </w:p>
    <w:p w14:paraId="2FD45503" w14:textId="10520690" w:rsidR="00683253" w:rsidRDefault="00683253" w:rsidP="00683253">
      <w:pPr>
        <w:pStyle w:val="Brdtext-RJH"/>
        <w:rPr>
          <w:lang w:val="sv-SE"/>
        </w:rPr>
      </w:pPr>
      <w:r w:rsidRPr="008B206A">
        <w:rPr>
          <w:lang w:val="sv-SE"/>
        </w:rPr>
        <w:t xml:space="preserve">Representanter från varje kommun och </w:t>
      </w:r>
      <w:r>
        <w:rPr>
          <w:lang w:val="sv-SE"/>
        </w:rPr>
        <w:t>regionen</w:t>
      </w:r>
      <w:r w:rsidRPr="008B206A">
        <w:rPr>
          <w:lang w:val="sv-SE"/>
        </w:rPr>
        <w:t xml:space="preserve"> ska månatligen kontrollera följsamhet</w:t>
      </w:r>
      <w:r>
        <w:rPr>
          <w:lang w:val="sv-SE"/>
        </w:rPr>
        <w:t>en</w:t>
      </w:r>
      <w:r w:rsidRPr="008B206A">
        <w:rPr>
          <w:lang w:val="sv-SE"/>
        </w:rPr>
        <w:t>. Om det genomsnittliga antalet dagar i sluten vård överstiger tre dagar ska en gemensam analys och lämpliga åtgärder genomföras</w:t>
      </w:r>
      <w:r>
        <w:rPr>
          <w:lang w:val="sv-SE"/>
        </w:rPr>
        <w:t xml:space="preserve"> utifrån lagens grundkrav i kap 5.</w:t>
      </w:r>
      <w:r w:rsidR="00A6451E">
        <w:rPr>
          <w:lang w:val="sv-SE"/>
        </w:rPr>
        <w:t xml:space="preserve"> I analysen ska också eventuella avvikelser ingå.</w:t>
      </w:r>
      <w:r w:rsidRPr="008B206A">
        <w:rPr>
          <w:lang w:val="sv-SE"/>
        </w:rPr>
        <w:t xml:space="preserve"> Om problemet kvarstår månad tre ska kommunen ersätta </w:t>
      </w:r>
      <w:r>
        <w:rPr>
          <w:lang w:val="sv-SE"/>
        </w:rPr>
        <w:t>regionen</w:t>
      </w:r>
      <w:r w:rsidRPr="008B206A">
        <w:rPr>
          <w:lang w:val="sv-SE"/>
        </w:rPr>
        <w:t xml:space="preserve"> på individnivå från och med månad fyra.</w:t>
      </w:r>
      <w:r w:rsidRPr="00683253">
        <w:rPr>
          <w:lang w:val="sv-SE"/>
        </w:rPr>
        <w:t xml:space="preserve"> </w:t>
      </w:r>
      <w:r>
        <w:rPr>
          <w:lang w:val="sv-SE"/>
        </w:rPr>
        <w:t xml:space="preserve"> </w:t>
      </w:r>
    </w:p>
    <w:p w14:paraId="7FCE21B6" w14:textId="77777777" w:rsidR="00683253" w:rsidRPr="008B206A" w:rsidRDefault="00683253" w:rsidP="00683253">
      <w:pPr>
        <w:pStyle w:val="Brdtext-RJH"/>
        <w:rPr>
          <w:lang w:val="sv-SE"/>
        </w:rPr>
      </w:pPr>
    </w:p>
    <w:p w14:paraId="18BB9B12" w14:textId="7038AD72" w:rsidR="00683253" w:rsidRPr="00683253" w:rsidRDefault="00683253" w:rsidP="009E3D04">
      <w:pPr>
        <w:pStyle w:val="Brdtext-RJH"/>
        <w:rPr>
          <w:b/>
          <w:lang w:val="sv-SE"/>
        </w:rPr>
      </w:pPr>
      <w:r w:rsidRPr="00683253">
        <w:rPr>
          <w:b/>
          <w:lang w:val="sv-SE"/>
        </w:rPr>
        <w:t>Belopp för debitering</w:t>
      </w:r>
    </w:p>
    <w:p w14:paraId="296AD9E7" w14:textId="29158683" w:rsidR="009E3D04" w:rsidRDefault="009E3D04" w:rsidP="009E3D04">
      <w:pPr>
        <w:pStyle w:val="Brdtext-RJH"/>
        <w:rPr>
          <w:lang w:val="sv-SE"/>
        </w:rPr>
      </w:pPr>
      <w:r w:rsidRPr="008B206A">
        <w:rPr>
          <w:lang w:val="sv-SE"/>
        </w:rPr>
        <w:t xml:space="preserve">Kommunerna debiteras </w:t>
      </w:r>
      <w:r>
        <w:rPr>
          <w:lang w:val="sv-SE"/>
        </w:rPr>
        <w:t xml:space="preserve">då </w:t>
      </w:r>
      <w:r w:rsidRPr="008B206A">
        <w:rPr>
          <w:lang w:val="sv-SE"/>
        </w:rPr>
        <w:t xml:space="preserve">med </w:t>
      </w:r>
      <w:r>
        <w:rPr>
          <w:lang w:val="sv-SE"/>
        </w:rPr>
        <w:t xml:space="preserve">det </w:t>
      </w:r>
      <w:r w:rsidRPr="008B206A">
        <w:rPr>
          <w:lang w:val="sv-SE"/>
        </w:rPr>
        <w:t xml:space="preserve">kronor per dygn </w:t>
      </w:r>
      <w:r>
        <w:rPr>
          <w:lang w:val="sv-SE"/>
        </w:rPr>
        <w:t>som Socialstyrelsen fastställer utifrån</w:t>
      </w:r>
      <w:r w:rsidRPr="008B206A">
        <w:rPr>
          <w:lang w:val="sv-SE"/>
        </w:rPr>
        <w:t xml:space="preserve"> </w:t>
      </w:r>
      <w:r w:rsidRPr="00277292">
        <w:rPr>
          <w:i/>
          <w:lang w:val="sv-SE"/>
        </w:rPr>
        <w:t xml:space="preserve">prisutvecklingen på vårddygn i </w:t>
      </w:r>
      <w:r w:rsidRPr="009E3D04">
        <w:rPr>
          <w:i/>
          <w:lang w:val="sv-SE"/>
        </w:rPr>
        <w:t>riket</w:t>
      </w:r>
      <w:r>
        <w:rPr>
          <w:i/>
          <w:lang w:val="sv-SE"/>
        </w:rPr>
        <w:t xml:space="preserve"> </w:t>
      </w:r>
      <w:r w:rsidRPr="009E3D04">
        <w:rPr>
          <w:rStyle w:val="Fotnotsreferens"/>
          <w:i/>
          <w:lang w:val="sv-SE"/>
        </w:rPr>
        <w:footnoteReference w:id="5"/>
      </w:r>
      <w:r w:rsidRPr="009E3D04">
        <w:rPr>
          <w:lang w:val="sv-SE"/>
        </w:rPr>
        <w:t>.</w:t>
      </w:r>
      <w:r w:rsidRPr="008B206A">
        <w:rPr>
          <w:lang w:val="sv-SE"/>
        </w:rPr>
        <w:t xml:space="preserve"> Den ekonomiska regleringen hanteras kommunvis. </w:t>
      </w:r>
      <w:r>
        <w:rPr>
          <w:lang w:val="sv-SE"/>
        </w:rPr>
        <w:t>Personer</w:t>
      </w:r>
      <w:r w:rsidRPr="008B206A">
        <w:rPr>
          <w:lang w:val="sv-SE"/>
        </w:rPr>
        <w:t xml:space="preserve"> som rapporterats som utskrivningsklara men som inte är hemgångsklara omfattas inte av den ekonomiska regleringen.</w:t>
      </w:r>
      <w:r>
        <w:rPr>
          <w:lang w:val="sv-SE"/>
        </w:rPr>
        <w:t xml:space="preserve"> </w:t>
      </w:r>
    </w:p>
    <w:p w14:paraId="028635DA" w14:textId="03363981" w:rsidR="009E3D04" w:rsidRPr="008B206A" w:rsidRDefault="009E3D04" w:rsidP="009E3D04">
      <w:pPr>
        <w:pStyle w:val="Brdtext-RJH"/>
        <w:rPr>
          <w:lang w:val="sv-SE"/>
        </w:rPr>
      </w:pPr>
      <w:r w:rsidRPr="008B206A">
        <w:rPr>
          <w:lang w:val="sv-SE"/>
        </w:rPr>
        <w:t xml:space="preserve">   </w:t>
      </w:r>
    </w:p>
    <w:p w14:paraId="548E7B71" w14:textId="4962D930" w:rsidR="00E82FE2" w:rsidRPr="00683253" w:rsidRDefault="00683253" w:rsidP="008B206A">
      <w:pPr>
        <w:pStyle w:val="Brdtext-RJH"/>
        <w:rPr>
          <w:b/>
          <w:lang w:val="sv-SE"/>
        </w:rPr>
      </w:pPr>
      <w:r w:rsidRPr="00683253">
        <w:rPr>
          <w:b/>
          <w:lang w:val="sv-SE"/>
        </w:rPr>
        <w:t>Ersättningen upphör</w:t>
      </w:r>
    </w:p>
    <w:p w14:paraId="258E6126" w14:textId="5705805C" w:rsidR="00BD7E94" w:rsidRPr="008B206A" w:rsidRDefault="00BD7E94" w:rsidP="008B206A">
      <w:pPr>
        <w:pStyle w:val="Brdtext-RJH"/>
        <w:rPr>
          <w:lang w:val="sv-SE"/>
        </w:rPr>
      </w:pPr>
      <w:r w:rsidRPr="008B206A">
        <w:rPr>
          <w:lang w:val="sv-SE"/>
        </w:rPr>
        <w:t xml:space="preserve">När det genomsnittliga antalet dagar är tre eller färre under tre sammanhängande månader upphör </w:t>
      </w:r>
      <w:r w:rsidR="00277292">
        <w:rPr>
          <w:lang w:val="sv-SE"/>
        </w:rPr>
        <w:t>regionens</w:t>
      </w:r>
      <w:r w:rsidR="00683253">
        <w:rPr>
          <w:lang w:val="sv-SE"/>
        </w:rPr>
        <w:t xml:space="preserve"> krav på ersättning. Detta betyder att enstaka tillfällen med längre tid i slutenvården innebär ingen ersättning så länge totala genomsnittet är tre eller färre. </w:t>
      </w:r>
      <w:r w:rsidRPr="008B206A">
        <w:rPr>
          <w:lang w:val="sv-SE"/>
        </w:rPr>
        <w:t xml:space="preserve"> </w:t>
      </w:r>
    </w:p>
    <w:p w14:paraId="6231BDED" w14:textId="77777777" w:rsidR="00485F89" w:rsidRDefault="00485F89" w:rsidP="00485F89">
      <w:pPr>
        <w:pStyle w:val="Brdtext-RJH"/>
      </w:pPr>
    </w:p>
    <w:p w14:paraId="091A2A75" w14:textId="6E5B944E" w:rsidR="00683253" w:rsidRPr="00683253" w:rsidRDefault="00683253" w:rsidP="00450704">
      <w:pPr>
        <w:pStyle w:val="Brdtext-RJH"/>
        <w:rPr>
          <w:b/>
          <w:lang w:val="sv-SE"/>
        </w:rPr>
      </w:pPr>
      <w:r w:rsidRPr="00683253">
        <w:rPr>
          <w:b/>
          <w:lang w:val="sv-SE"/>
        </w:rPr>
        <w:t>När grunden på nytt inte kan uppnås</w:t>
      </w:r>
      <w:r>
        <w:rPr>
          <w:b/>
          <w:lang w:val="sv-SE"/>
        </w:rPr>
        <w:t xml:space="preserve"> - retroaktivitet</w:t>
      </w:r>
    </w:p>
    <w:p w14:paraId="3864047F" w14:textId="085F1D1D" w:rsidR="00450704" w:rsidRDefault="00485F89" w:rsidP="00450704">
      <w:pPr>
        <w:pStyle w:val="Brdtext-RJH"/>
        <w:rPr>
          <w:lang w:val="sv-SE"/>
        </w:rPr>
      </w:pPr>
      <w:r w:rsidRPr="008B206A">
        <w:rPr>
          <w:lang w:val="sv-SE"/>
        </w:rPr>
        <w:t xml:space="preserve">Om det genomsnittliga antalet dagar i sluten vård </w:t>
      </w:r>
      <w:r>
        <w:rPr>
          <w:lang w:val="sv-SE"/>
        </w:rPr>
        <w:t xml:space="preserve">ånyo </w:t>
      </w:r>
      <w:r w:rsidRPr="008B206A">
        <w:rPr>
          <w:lang w:val="sv-SE"/>
        </w:rPr>
        <w:t>överstiger tre dagar ska</w:t>
      </w:r>
      <w:r>
        <w:rPr>
          <w:lang w:val="sv-SE"/>
        </w:rPr>
        <w:t xml:space="preserve"> återigen</w:t>
      </w:r>
      <w:r w:rsidRPr="008B206A">
        <w:rPr>
          <w:lang w:val="sv-SE"/>
        </w:rPr>
        <w:t xml:space="preserve"> en gemensam analys och lämpliga åtgärder genomföras</w:t>
      </w:r>
      <w:r>
        <w:rPr>
          <w:lang w:val="sv-SE"/>
        </w:rPr>
        <w:t xml:space="preserve"> utifrån lagens grundkrav i kap 5.</w:t>
      </w:r>
      <w:r w:rsidRPr="008B206A">
        <w:rPr>
          <w:lang w:val="sv-SE"/>
        </w:rPr>
        <w:t xml:space="preserve"> Om problemet kvarstår månad tre ska kommunen </w:t>
      </w:r>
      <w:r w:rsidR="00AE2C5A">
        <w:rPr>
          <w:lang w:val="sv-SE"/>
        </w:rPr>
        <w:t xml:space="preserve">då </w:t>
      </w:r>
      <w:r w:rsidRPr="008B206A">
        <w:rPr>
          <w:lang w:val="sv-SE"/>
        </w:rPr>
        <w:t xml:space="preserve">ersätta </w:t>
      </w:r>
      <w:r>
        <w:rPr>
          <w:lang w:val="sv-SE"/>
        </w:rPr>
        <w:t>regionen</w:t>
      </w:r>
      <w:r w:rsidRPr="008B206A">
        <w:rPr>
          <w:lang w:val="sv-SE"/>
        </w:rPr>
        <w:t xml:space="preserve"> på individnivå </w:t>
      </w:r>
      <w:r>
        <w:rPr>
          <w:lang w:val="sv-SE"/>
        </w:rPr>
        <w:t xml:space="preserve">retroaktivt för dessa tre månader </w:t>
      </w:r>
      <w:r w:rsidR="00450704" w:rsidRPr="00683253">
        <w:rPr>
          <w:lang w:val="sv-SE"/>
        </w:rPr>
        <w:t xml:space="preserve">tills det genomsnittliga antalet dagar återigen är tre eller färre. </w:t>
      </w:r>
      <w:r w:rsidR="00450704" w:rsidRPr="00450704">
        <w:rPr>
          <w:lang w:val="sv-SE"/>
        </w:rPr>
        <w:t xml:space="preserve"> </w:t>
      </w:r>
    </w:p>
    <w:p w14:paraId="02D2C110" w14:textId="77777777" w:rsidR="00C722E5" w:rsidRPr="00AE2C5A" w:rsidRDefault="00AE2C5A" w:rsidP="00AE2C5A">
      <w:pPr>
        <w:pStyle w:val="Rubrik2"/>
      </w:pPr>
      <w:r>
        <w:t>Övergångsbestämmelse</w:t>
      </w:r>
    </w:p>
    <w:p w14:paraId="6A4541D3" w14:textId="77777777" w:rsidR="00552F8D" w:rsidRDefault="00AE2C5A" w:rsidP="00AE2C5A">
      <w:pPr>
        <w:pStyle w:val="Brdtext-RJH"/>
        <w:rPr>
          <w:lang w:val="sv-SE"/>
        </w:rPr>
      </w:pPr>
      <w:r w:rsidRPr="00AE2C5A">
        <w:rPr>
          <w:lang w:val="sv-SE"/>
        </w:rPr>
        <w:t xml:space="preserve">Denna bilagas överenskommelser gäller </w:t>
      </w:r>
      <w:r w:rsidR="00543ED2">
        <w:rPr>
          <w:lang w:val="sv-SE"/>
        </w:rPr>
        <w:t xml:space="preserve">fr o m 1 januari 2018 när det gäller samverkan, arbetssätt och dokumentation. </w:t>
      </w:r>
    </w:p>
    <w:p w14:paraId="7DFB32A3" w14:textId="77777777" w:rsidR="00543ED2" w:rsidRDefault="00543ED2" w:rsidP="00AE2C5A">
      <w:pPr>
        <w:pStyle w:val="Brdtext-RJH"/>
        <w:rPr>
          <w:lang w:val="sv-SE"/>
        </w:rPr>
      </w:pPr>
    </w:p>
    <w:p w14:paraId="28D29924" w14:textId="77777777" w:rsidR="00543ED2" w:rsidRDefault="00543ED2" w:rsidP="00543ED2">
      <w:pPr>
        <w:pStyle w:val="Brdtext-RJH"/>
        <w:rPr>
          <w:lang w:val="sv-SE"/>
        </w:rPr>
      </w:pPr>
      <w:r>
        <w:rPr>
          <w:lang w:val="sv-SE"/>
        </w:rPr>
        <w:t xml:space="preserve">Den ekonomiska regleringen har följande övergångsbestämmelse: </w:t>
      </w:r>
    </w:p>
    <w:p w14:paraId="3249D2B8" w14:textId="77777777" w:rsidR="00543ED2" w:rsidRDefault="00543ED2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t xml:space="preserve">Ingen avstämning av </w:t>
      </w:r>
      <w:r w:rsidRPr="008B206A">
        <w:rPr>
          <w:lang w:val="sv-SE"/>
        </w:rPr>
        <w:t xml:space="preserve">antalet dagar i sluten vård </w:t>
      </w:r>
      <w:r w:rsidRPr="00AE3928">
        <w:rPr>
          <w:lang w:val="sv-SE"/>
        </w:rPr>
        <w:t>efter hemgångsklar</w:t>
      </w:r>
      <w:r>
        <w:rPr>
          <w:lang w:val="sv-SE"/>
        </w:rPr>
        <w:t xml:space="preserve"> ska ske utan IT-stöd. </w:t>
      </w:r>
    </w:p>
    <w:p w14:paraId="61B7D3C4" w14:textId="4AF569F0" w:rsidR="00683253" w:rsidRDefault="002776B9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t>Tre</w:t>
      </w:r>
      <w:r w:rsidR="00683253">
        <w:rPr>
          <w:lang w:val="sv-SE"/>
        </w:rPr>
        <w:t xml:space="preserve"> dagar gäller enbart inom somatisk slutenvård under kalenderåret 2018. För psykiatrisk slutenvård gäller </w:t>
      </w:r>
      <w:r w:rsidR="00A6451E">
        <w:rPr>
          <w:lang w:val="sv-SE"/>
        </w:rPr>
        <w:t>trettio</w:t>
      </w:r>
      <w:r w:rsidR="00683253">
        <w:rPr>
          <w:lang w:val="sv-SE"/>
        </w:rPr>
        <w:t xml:space="preserve"> kalenderdagar fram till 20181231, därefter gäller även för psykiatrisk vård </w:t>
      </w:r>
      <w:r>
        <w:rPr>
          <w:lang w:val="sv-SE"/>
        </w:rPr>
        <w:t xml:space="preserve">tre </w:t>
      </w:r>
      <w:r w:rsidR="00683253">
        <w:rPr>
          <w:lang w:val="sv-SE"/>
        </w:rPr>
        <w:t>dagar</w:t>
      </w:r>
    </w:p>
    <w:p w14:paraId="5525B21C" w14:textId="054AC8A7" w:rsidR="00543ED2" w:rsidRDefault="00543ED2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lastRenderedPageBreak/>
        <w:t>När IT</w:t>
      </w:r>
      <w:r w:rsidR="00A6451E">
        <w:rPr>
          <w:lang w:val="sv-SE"/>
        </w:rPr>
        <w:t>-</w:t>
      </w:r>
      <w:r>
        <w:rPr>
          <w:lang w:val="sv-SE"/>
        </w:rPr>
        <w:t xml:space="preserve">stödet är i drift börjar uppföljning och mätning av dag </w:t>
      </w:r>
      <w:r w:rsidRPr="00A6451E">
        <w:rPr>
          <w:lang w:val="sv-SE"/>
        </w:rPr>
        <w:t>0</w:t>
      </w:r>
      <w:r w:rsidR="00F21EEC" w:rsidRPr="00A6451E">
        <w:rPr>
          <w:lang w:val="sv-SE"/>
        </w:rPr>
        <w:t>/30</w:t>
      </w:r>
      <w:r>
        <w:rPr>
          <w:lang w:val="sv-SE"/>
        </w:rPr>
        <w:t xml:space="preserve"> fr o m den 1:a i nästkommande månad.  </w:t>
      </w:r>
    </w:p>
    <w:p w14:paraId="222ED123" w14:textId="77777777" w:rsidR="00543ED2" w:rsidRDefault="00543ED2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t xml:space="preserve">Första tre månaderna sker bara uppföljning, ingen retroaktiv ersättning. </w:t>
      </w:r>
    </w:p>
    <w:p w14:paraId="48C2E98B" w14:textId="78865BF3" w:rsidR="004958B1" w:rsidRDefault="004958B1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t>Se schematisk beskrivning nedan av ersättningsmodellen</w:t>
      </w:r>
    </w:p>
    <w:p w14:paraId="1142E614" w14:textId="0CF0D76E" w:rsidR="00B817BF" w:rsidRDefault="00B817BF" w:rsidP="00543ED2">
      <w:pPr>
        <w:pStyle w:val="Brdtext-RJH"/>
        <w:numPr>
          <w:ilvl w:val="0"/>
          <w:numId w:val="37"/>
        </w:numPr>
        <w:rPr>
          <w:lang w:val="sv-SE"/>
        </w:rPr>
      </w:pPr>
      <w:r>
        <w:rPr>
          <w:lang w:val="sv-SE"/>
        </w:rPr>
        <w:t>Under 2018 betalas ersättning enligt ovanstående system från</w:t>
      </w:r>
      <w:r w:rsidR="00FD44A2">
        <w:rPr>
          <w:lang w:val="sv-SE"/>
        </w:rPr>
        <w:t xml:space="preserve"> och med</w:t>
      </w:r>
      <w:r>
        <w:rPr>
          <w:lang w:val="sv-SE"/>
        </w:rPr>
        <w:t xml:space="preserve"> dag fyra</w:t>
      </w:r>
      <w:r w:rsidR="00FD44A2">
        <w:rPr>
          <w:lang w:val="sv-SE"/>
        </w:rPr>
        <w:t xml:space="preserve"> inom somatisk vård och fr o m dag 30 inom psykiatrisk vård</w:t>
      </w:r>
      <w:r>
        <w:rPr>
          <w:lang w:val="sv-SE"/>
        </w:rPr>
        <w:t xml:space="preserve">. Eftersom parternas har en gemensamma målsättning om att uppnå hemgång dag noll ska ersättningsmodellen i denna punkt förhandlas på nytt hösten 2018 (inför 2019) utifrån de erfarenheter som då finns.  </w:t>
      </w:r>
    </w:p>
    <w:p w14:paraId="6BC688F4" w14:textId="77777777" w:rsidR="00F914D6" w:rsidRDefault="00F914D6">
      <w:pPr>
        <w:spacing w:after="200" w:line="276" w:lineRule="auto"/>
      </w:pPr>
    </w:p>
    <w:p w14:paraId="14069188" w14:textId="5B09DB82" w:rsidR="00A6451E" w:rsidRPr="00A6451E" w:rsidRDefault="00A6451E" w:rsidP="00A6451E">
      <w:pPr>
        <w:pStyle w:val="Brdtext-RJH"/>
        <w:rPr>
          <w:b/>
          <w:lang w:val="sv-SE"/>
        </w:rPr>
      </w:pPr>
      <w:r w:rsidRPr="00A6451E">
        <w:rPr>
          <w:b/>
          <w:lang w:val="sv-SE"/>
        </w:rPr>
        <w:t>Ersättningsmodellen förklarande exempel</w:t>
      </w:r>
    </w:p>
    <w:p w14:paraId="79514F39" w14:textId="3E82D6A6" w:rsidR="00F914D6" w:rsidRPr="00A6451E" w:rsidRDefault="00F914D6" w:rsidP="00A6451E">
      <w:pPr>
        <w:pStyle w:val="Brdtext-RJH"/>
        <w:rPr>
          <w:lang w:val="sv-SE"/>
        </w:rPr>
      </w:pPr>
      <w:r w:rsidRPr="00A6451E">
        <w:rPr>
          <w:lang w:val="sv-SE"/>
        </w:rPr>
        <w:t xml:space="preserve">Dag </w:t>
      </w:r>
      <w:r w:rsidR="00A6451E">
        <w:rPr>
          <w:lang w:val="sv-SE"/>
        </w:rPr>
        <w:t>noll</w:t>
      </w:r>
      <w:r w:rsidRPr="00A6451E">
        <w:rPr>
          <w:lang w:val="sv-SE"/>
        </w:rPr>
        <w:t xml:space="preserve"> = patienten går hem</w:t>
      </w:r>
      <w:r w:rsidR="00A6451E">
        <w:rPr>
          <w:lang w:val="sv-SE"/>
        </w:rPr>
        <w:t xml:space="preserve">, mäts och följs i IT-stödet dvs för närvarande </w:t>
      </w:r>
      <w:proofErr w:type="spellStart"/>
      <w:r w:rsidR="00A6451E">
        <w:rPr>
          <w:lang w:val="sv-SE"/>
        </w:rPr>
        <w:t>Lifecare</w:t>
      </w:r>
      <w:proofErr w:type="spellEnd"/>
    </w:p>
    <w:p w14:paraId="3C71626A" w14:textId="77777777" w:rsidR="00A6451E" w:rsidRDefault="00A6451E" w:rsidP="00A6451E">
      <w:pPr>
        <w:pStyle w:val="Brdtext-RJH"/>
        <w:rPr>
          <w:lang w:val="sv-SE"/>
        </w:rPr>
      </w:pPr>
    </w:p>
    <w:p w14:paraId="64D95A9E" w14:textId="374A64F4" w:rsidR="00A6451E" w:rsidRDefault="00A6451E" w:rsidP="00A6451E">
      <w:pPr>
        <w:pStyle w:val="Brdtext-RJH"/>
        <w:rPr>
          <w:lang w:val="sv-SE"/>
        </w:rPr>
      </w:pPr>
      <w:r>
        <w:rPr>
          <w:lang w:val="sv-SE"/>
        </w:rPr>
        <w:t>Uppföljningen ska stämma av genomsnittligt antal patienter som är kvar e</w:t>
      </w:r>
      <w:r w:rsidR="000F6C04">
        <w:rPr>
          <w:lang w:val="sv-SE"/>
        </w:rPr>
        <w:t>fter hemgångsklar dvs dag noll, se nedanstående exempel</w:t>
      </w:r>
      <w:r>
        <w:rPr>
          <w:lang w:val="sv-SE"/>
        </w:rPr>
        <w:br/>
        <w:t xml:space="preserve">Under månad ett  </w:t>
      </w:r>
      <w:r>
        <w:rPr>
          <w:lang w:val="sv-SE"/>
        </w:rPr>
        <w:br/>
        <w:t>10 patienter gå</w:t>
      </w:r>
      <w:r w:rsidR="000F6C04">
        <w:rPr>
          <w:lang w:val="sv-SE"/>
        </w:rPr>
        <w:t>r</w:t>
      </w:r>
      <w:r>
        <w:rPr>
          <w:lang w:val="sv-SE"/>
        </w:rPr>
        <w:t xml:space="preserve"> hem dag noll, </w:t>
      </w:r>
      <w:r>
        <w:rPr>
          <w:lang w:val="sv-SE"/>
        </w:rPr>
        <w:br/>
        <w:t xml:space="preserve">10 patienter blir kvar två dagar </w:t>
      </w:r>
      <w:r>
        <w:rPr>
          <w:lang w:val="sv-SE"/>
        </w:rPr>
        <w:br/>
        <w:t>10 patienter blir kvar fyra dagar</w:t>
      </w:r>
    </w:p>
    <w:p w14:paraId="6A490DF5" w14:textId="25080B2E" w:rsidR="00A6451E" w:rsidRDefault="00A6451E" w:rsidP="00A6451E">
      <w:pPr>
        <w:pStyle w:val="Brdtext-RJH"/>
        <w:rPr>
          <w:lang w:val="sv-SE"/>
        </w:rPr>
      </w:pPr>
      <w:r>
        <w:rPr>
          <w:lang w:val="sv-SE"/>
        </w:rPr>
        <w:t>= genomsnitt (10*0+10*2+10*4)/30= genomsnitt 2 dagar</w:t>
      </w:r>
    </w:p>
    <w:p w14:paraId="42E0D40D" w14:textId="77777777" w:rsidR="00A6451E" w:rsidRDefault="00A6451E" w:rsidP="00A6451E">
      <w:pPr>
        <w:pStyle w:val="Brdtext-RJH"/>
        <w:rPr>
          <w:lang w:val="sv-SE"/>
        </w:rPr>
      </w:pPr>
    </w:p>
    <w:p w14:paraId="615ED0A7" w14:textId="4D6FA7B0" w:rsidR="000F6C04" w:rsidRDefault="000F6C04" w:rsidP="00A6451E">
      <w:pPr>
        <w:pStyle w:val="Brdtext-RJH"/>
        <w:rPr>
          <w:lang w:val="sv-SE"/>
        </w:rPr>
      </w:pPr>
      <w:r>
        <w:rPr>
          <w:lang w:val="sv-SE"/>
        </w:rPr>
        <w:t>Under månad två</w:t>
      </w:r>
    </w:p>
    <w:p w14:paraId="6CECBC39" w14:textId="30368B89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 xml:space="preserve">10 patienter gå hem dag noll, </w:t>
      </w:r>
      <w:r>
        <w:rPr>
          <w:lang w:val="sv-SE"/>
        </w:rPr>
        <w:br/>
        <w:t xml:space="preserve">10 patienter blir kvar fyra dagar </w:t>
      </w:r>
      <w:r>
        <w:rPr>
          <w:lang w:val="sv-SE"/>
        </w:rPr>
        <w:br/>
        <w:t>10 patienter blir kvar sex dagar</w:t>
      </w:r>
    </w:p>
    <w:p w14:paraId="50FDC154" w14:textId="53D51294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>= genomsnitt (10*0+10*4+10*6)/30= genomsnitt 3,33 dagar</w:t>
      </w:r>
    </w:p>
    <w:p w14:paraId="301CF138" w14:textId="77777777" w:rsidR="000F6C04" w:rsidRDefault="000F6C04" w:rsidP="00A6451E">
      <w:pPr>
        <w:pStyle w:val="Brdtext-RJH"/>
        <w:rPr>
          <w:lang w:val="sv-SE"/>
        </w:rPr>
      </w:pPr>
    </w:p>
    <w:p w14:paraId="05E33D5A" w14:textId="33B9F461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>Under månad tre</w:t>
      </w:r>
    </w:p>
    <w:p w14:paraId="79B5695A" w14:textId="7922DC18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 xml:space="preserve">10 patienter blir kvar 2 dagar </w:t>
      </w:r>
      <w:r>
        <w:rPr>
          <w:lang w:val="sv-SE"/>
        </w:rPr>
        <w:br/>
        <w:t xml:space="preserve">10 patienter blir kvar fyra dagar </w:t>
      </w:r>
      <w:r>
        <w:rPr>
          <w:lang w:val="sv-SE"/>
        </w:rPr>
        <w:br/>
        <w:t>10 patienter blir kvar sex dagar</w:t>
      </w:r>
    </w:p>
    <w:p w14:paraId="3F97A2B9" w14:textId="2DC4C5D5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>= genomsnitt (10*2+10*4+10*6)/30= genomsnitt 4 dagar</w:t>
      </w:r>
    </w:p>
    <w:p w14:paraId="4633D522" w14:textId="77777777" w:rsidR="00A6451E" w:rsidRDefault="00A6451E" w:rsidP="00A6451E">
      <w:pPr>
        <w:pStyle w:val="Brdtext-RJH"/>
        <w:rPr>
          <w:lang w:val="sv-SE"/>
        </w:rPr>
      </w:pPr>
    </w:p>
    <w:p w14:paraId="7FB9A3EC" w14:textId="29259ABC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 xml:space="preserve">Under månad </w:t>
      </w:r>
      <w:r w:rsidR="006F6651">
        <w:rPr>
          <w:lang w:val="sv-SE"/>
        </w:rPr>
        <w:t>fyra</w:t>
      </w:r>
    </w:p>
    <w:p w14:paraId="0FD2A294" w14:textId="77777777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 xml:space="preserve">10 patienter blir kvar 2 dagar </w:t>
      </w:r>
      <w:r>
        <w:rPr>
          <w:lang w:val="sv-SE"/>
        </w:rPr>
        <w:br/>
        <w:t xml:space="preserve">10 patienter blir kvar fyra dagar </w:t>
      </w:r>
      <w:r>
        <w:rPr>
          <w:lang w:val="sv-SE"/>
        </w:rPr>
        <w:br/>
        <w:t>10 patienter blir kvar sex dagar</w:t>
      </w:r>
    </w:p>
    <w:p w14:paraId="1EB3B566" w14:textId="77777777" w:rsidR="000F6C04" w:rsidRDefault="000F6C04" w:rsidP="000F6C04">
      <w:pPr>
        <w:pStyle w:val="Brdtext-RJH"/>
        <w:rPr>
          <w:lang w:val="sv-SE"/>
        </w:rPr>
      </w:pPr>
      <w:r>
        <w:rPr>
          <w:lang w:val="sv-SE"/>
        </w:rPr>
        <w:t>= genomsnitt (10*2+10*4+10*6)/30= genomsnitt 4 dagar</w:t>
      </w:r>
    </w:p>
    <w:p w14:paraId="598D52ED" w14:textId="08ABA886" w:rsidR="00F914D6" w:rsidRPr="00A6451E" w:rsidRDefault="00F914D6" w:rsidP="00A6451E">
      <w:pPr>
        <w:pStyle w:val="Brdtext-RJH"/>
        <w:rPr>
          <w:lang w:val="sv-SE"/>
        </w:rPr>
      </w:pPr>
    </w:p>
    <w:p w14:paraId="22ADDD17" w14:textId="125A87D4" w:rsidR="006F6651" w:rsidRDefault="006F6651" w:rsidP="00A6451E">
      <w:pPr>
        <w:pStyle w:val="Brdtext-RJH"/>
        <w:rPr>
          <w:lang w:val="sv-SE"/>
        </w:rPr>
      </w:pPr>
      <w:r>
        <w:rPr>
          <w:lang w:val="sv-SE"/>
        </w:rPr>
        <w:t xml:space="preserve">Nu kommer denna exempelkommun att </w:t>
      </w:r>
      <w:r w:rsidR="00FD44A2">
        <w:rPr>
          <w:lang w:val="sv-SE"/>
        </w:rPr>
        <w:t>fr.o.m.</w:t>
      </w:r>
      <w:r>
        <w:rPr>
          <w:lang w:val="sv-SE"/>
        </w:rPr>
        <w:t xml:space="preserve"> nästa månad få betala 7100 kr för alla individer som blir kvar </w:t>
      </w:r>
      <w:r w:rsidR="00B817BF">
        <w:rPr>
          <w:lang w:val="sv-SE"/>
        </w:rPr>
        <w:t xml:space="preserve">fyra </w:t>
      </w:r>
      <w:r>
        <w:rPr>
          <w:lang w:val="sv-SE"/>
        </w:rPr>
        <w:t>dag</w:t>
      </w:r>
      <w:r w:rsidR="00FD44A2">
        <w:rPr>
          <w:lang w:val="sv-SE"/>
        </w:rPr>
        <w:t>ar</w:t>
      </w:r>
      <w:r>
        <w:rPr>
          <w:lang w:val="sv-SE"/>
        </w:rPr>
        <w:t xml:space="preserve"> eller längre. Ersättningen fortsätter så fram tills att avstämningen under tre månader haft ett genomsnitt </w:t>
      </w:r>
      <w:r w:rsidR="00FD44A2">
        <w:rPr>
          <w:lang w:val="sv-SE"/>
        </w:rPr>
        <w:t xml:space="preserve">på </w:t>
      </w:r>
      <w:r>
        <w:rPr>
          <w:lang w:val="sv-SE"/>
        </w:rPr>
        <w:t>3 dagar</w:t>
      </w:r>
      <w:r w:rsidR="00FD44A2">
        <w:rPr>
          <w:lang w:val="sv-SE"/>
        </w:rPr>
        <w:t xml:space="preserve"> eller lägre</w:t>
      </w:r>
      <w:r>
        <w:rPr>
          <w:lang w:val="sv-SE"/>
        </w:rPr>
        <w:t xml:space="preserve">. </w:t>
      </w:r>
    </w:p>
    <w:p w14:paraId="30AC808E" w14:textId="77777777" w:rsidR="006F6651" w:rsidRDefault="006F6651" w:rsidP="00A6451E">
      <w:pPr>
        <w:pStyle w:val="Brdtext-RJH"/>
        <w:rPr>
          <w:lang w:val="sv-SE"/>
        </w:rPr>
      </w:pPr>
    </w:p>
    <w:p w14:paraId="15916CE7" w14:textId="13B66E75" w:rsidR="006F6651" w:rsidRPr="00A6451E" w:rsidRDefault="006F6651" w:rsidP="00A6451E">
      <w:pPr>
        <w:pStyle w:val="Brdtext-RJH"/>
        <w:rPr>
          <w:lang w:val="sv-SE"/>
        </w:rPr>
      </w:pPr>
      <w:r>
        <w:rPr>
          <w:lang w:val="sv-SE"/>
        </w:rPr>
        <w:t>Om exempelkommunen vid avstämningarna därefter återigen under tre månader får ett genomsnitt på högre</w:t>
      </w:r>
      <w:r w:rsidR="00FD44A2">
        <w:rPr>
          <w:lang w:val="sv-SE"/>
        </w:rPr>
        <w:t xml:space="preserve"> än tre dagar</w:t>
      </w:r>
      <w:r>
        <w:rPr>
          <w:lang w:val="sv-SE"/>
        </w:rPr>
        <w:t xml:space="preserve"> börjar ersättning igen, men då också med retroaktivitet för de månader där genomsnittet varit högre </w:t>
      </w:r>
      <w:r w:rsidR="00FD44A2">
        <w:rPr>
          <w:lang w:val="sv-SE"/>
        </w:rPr>
        <w:t xml:space="preserve">än tre dagar </w:t>
      </w:r>
      <w:r>
        <w:rPr>
          <w:lang w:val="sv-SE"/>
        </w:rPr>
        <w:t>och då per individ</w:t>
      </w:r>
      <w:r w:rsidR="00FD44A2">
        <w:rPr>
          <w:lang w:val="sv-SE"/>
        </w:rPr>
        <w:t xml:space="preserve"> fr.o.m. dag fyra</w:t>
      </w:r>
      <w:r>
        <w:rPr>
          <w:lang w:val="sv-SE"/>
        </w:rPr>
        <w:t xml:space="preserve">.  </w:t>
      </w:r>
      <w:r>
        <w:rPr>
          <w:lang w:val="sv-SE"/>
        </w:rPr>
        <w:lastRenderedPageBreak/>
        <w:t xml:space="preserve">Ersättningen fortsätter sen fram tills att avstämningen under tre månader återigen haft ett genomsnitt </w:t>
      </w:r>
      <w:r w:rsidR="00FD44A2">
        <w:rPr>
          <w:lang w:val="sv-SE"/>
        </w:rPr>
        <w:t xml:space="preserve">på </w:t>
      </w:r>
      <w:r>
        <w:rPr>
          <w:lang w:val="sv-SE"/>
        </w:rPr>
        <w:t>3 dagar</w:t>
      </w:r>
      <w:r w:rsidR="00FD44A2">
        <w:rPr>
          <w:lang w:val="sv-SE"/>
        </w:rPr>
        <w:t xml:space="preserve"> eller lägre</w:t>
      </w:r>
      <w:r>
        <w:rPr>
          <w:lang w:val="sv-SE"/>
        </w:rPr>
        <w:t xml:space="preserve">. </w:t>
      </w:r>
    </w:p>
    <w:p w14:paraId="7919F3F1" w14:textId="1DB32BE9" w:rsidR="004032AC" w:rsidRPr="00A6451E" w:rsidRDefault="004032AC" w:rsidP="00A6451E">
      <w:pPr>
        <w:pStyle w:val="Brdtext-RJH"/>
        <w:rPr>
          <w:lang w:val="sv-SE"/>
        </w:rPr>
      </w:pPr>
      <w:r w:rsidRPr="00A6451E">
        <w:rPr>
          <w:lang w:val="sv-SE"/>
        </w:rPr>
        <w:br w:type="page"/>
      </w:r>
    </w:p>
    <w:p w14:paraId="4E293223" w14:textId="77777777" w:rsidR="004032AC" w:rsidRDefault="004032AC" w:rsidP="00A6451E">
      <w:pPr>
        <w:pStyle w:val="Brdtext-RJH"/>
        <w:rPr>
          <w:lang w:val="sv-SE"/>
        </w:rPr>
        <w:sectPr w:rsidR="004032AC" w:rsidSect="00887BE6">
          <w:headerReference w:type="default" r:id="rId10"/>
          <w:headerReference w:type="first" r:id="rId11"/>
          <w:type w:val="continuous"/>
          <w:pgSz w:w="11906" w:h="16838"/>
          <w:pgMar w:top="1985" w:right="1871" w:bottom="851" w:left="1871" w:header="624" w:footer="709" w:gutter="0"/>
          <w:cols w:space="708"/>
          <w:docGrid w:linePitch="360"/>
        </w:sectPr>
      </w:pPr>
    </w:p>
    <w:p w14:paraId="75683A33" w14:textId="567B2AE3" w:rsidR="00543ED2" w:rsidRDefault="00543ED2" w:rsidP="00543ED2">
      <w:pPr>
        <w:pStyle w:val="Brdtext-RJH"/>
        <w:ind w:left="720"/>
        <w:rPr>
          <w:lang w:val="sv-SE"/>
        </w:rPr>
      </w:pPr>
    </w:p>
    <w:p w14:paraId="73B068A6" w14:textId="4E7C5FF9" w:rsidR="00543ED2" w:rsidRPr="00AE2C5A" w:rsidRDefault="006446BF" w:rsidP="006446BF">
      <w:pPr>
        <w:pStyle w:val="Brdtext-RJH"/>
        <w:ind w:left="-426"/>
        <w:rPr>
          <w:lang w:val="sv-SE"/>
        </w:rPr>
      </w:pPr>
      <w:r w:rsidRPr="006446BF">
        <w:rPr>
          <w:noProof/>
          <w:lang w:val="sv-SE" w:eastAsia="sv-SE"/>
        </w:rPr>
        <w:drawing>
          <wp:inline distT="0" distB="0" distL="0" distR="0" wp14:anchorId="7AFC1BF1" wp14:editId="2AE77877">
            <wp:extent cx="8891270" cy="2441162"/>
            <wp:effectExtent l="0" t="0" r="508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ED2" w:rsidRPr="00AE2C5A" w:rsidSect="004032AC">
      <w:type w:val="continuous"/>
      <w:pgSz w:w="16838" w:h="11906" w:orient="landscape"/>
      <w:pgMar w:top="1871" w:right="851" w:bottom="1871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504C" w14:textId="77777777" w:rsidR="00935244" w:rsidRDefault="00935244" w:rsidP="00E47EFD">
      <w:r>
        <w:separator/>
      </w:r>
    </w:p>
  </w:endnote>
  <w:endnote w:type="continuationSeparator" w:id="0">
    <w:p w14:paraId="5D967781" w14:textId="77777777" w:rsidR="00935244" w:rsidRDefault="00935244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234E" w14:textId="77777777" w:rsidR="00935244" w:rsidRDefault="00935244" w:rsidP="00E47EFD">
      <w:r>
        <w:separator/>
      </w:r>
    </w:p>
  </w:footnote>
  <w:footnote w:type="continuationSeparator" w:id="0">
    <w:p w14:paraId="712F3A5B" w14:textId="77777777" w:rsidR="00935244" w:rsidRDefault="00935244" w:rsidP="00E47EFD">
      <w:r>
        <w:continuationSeparator/>
      </w:r>
    </w:p>
  </w:footnote>
  <w:footnote w:id="1">
    <w:p w14:paraId="14682CF5" w14:textId="77777777" w:rsidR="00545639" w:rsidRPr="00FA2B7E" w:rsidRDefault="00545639">
      <w:pPr>
        <w:pStyle w:val="Fotnotstext"/>
        <w:rPr>
          <w:sz w:val="16"/>
        </w:rPr>
      </w:pPr>
      <w:r w:rsidRPr="00FA2B7E">
        <w:rPr>
          <w:rStyle w:val="Fotnotsreferens"/>
          <w:sz w:val="16"/>
        </w:rPr>
        <w:footnoteRef/>
      </w:r>
      <w:r w:rsidRPr="00FA2B7E">
        <w:rPr>
          <w:sz w:val="16"/>
        </w:rPr>
        <w:t xml:space="preserve"> </w:t>
      </w:r>
      <w:r w:rsidR="005736E0" w:rsidRPr="00FA2B7E">
        <w:rPr>
          <w:sz w:val="16"/>
        </w:rPr>
        <w:t xml:space="preserve">Lagen om samverkan vid utskrivning från slutenvård </w:t>
      </w:r>
      <w:r w:rsidRPr="00FA2B7E">
        <w:rPr>
          <w:sz w:val="16"/>
        </w:rPr>
        <w:t>2017:612</w:t>
      </w:r>
      <w:r w:rsidR="005736E0" w:rsidRPr="00FA2B7E">
        <w:rPr>
          <w:sz w:val="16"/>
        </w:rPr>
        <w:t>, ofta kallad ”LOSUS”</w:t>
      </w:r>
    </w:p>
  </w:footnote>
  <w:footnote w:id="2">
    <w:p w14:paraId="7B91801A" w14:textId="77777777" w:rsidR="00545639" w:rsidRPr="00FA2B7E" w:rsidRDefault="00545639">
      <w:pPr>
        <w:pStyle w:val="Fotnotstext"/>
        <w:rPr>
          <w:sz w:val="16"/>
        </w:rPr>
      </w:pPr>
      <w:r w:rsidRPr="00FA2B7E">
        <w:rPr>
          <w:rStyle w:val="Fotnotsreferens"/>
          <w:sz w:val="16"/>
        </w:rPr>
        <w:footnoteRef/>
      </w:r>
      <w:r w:rsidRPr="00FA2B7E">
        <w:rPr>
          <w:sz w:val="16"/>
        </w:rPr>
        <w:t xml:space="preserve"> </w:t>
      </w:r>
      <w:r w:rsidR="005736E0" w:rsidRPr="00FA2B7E">
        <w:rPr>
          <w:sz w:val="16"/>
        </w:rPr>
        <w:t xml:space="preserve">Lagen om kommunernas betalningsansvar för viss hälso- och sjukvård </w:t>
      </w:r>
      <w:r w:rsidRPr="00FA2B7E">
        <w:rPr>
          <w:sz w:val="16"/>
        </w:rPr>
        <w:t>1990:1404</w:t>
      </w:r>
      <w:r w:rsidR="005736E0" w:rsidRPr="00FA2B7E">
        <w:rPr>
          <w:sz w:val="16"/>
        </w:rPr>
        <w:t>, ofta kallad ”Betalningsansvarslagen”</w:t>
      </w:r>
    </w:p>
  </w:footnote>
  <w:footnote w:id="3">
    <w:p w14:paraId="17EC6221" w14:textId="77777777" w:rsidR="00AE3928" w:rsidRDefault="00AE3928" w:rsidP="00AE3928">
      <w:r>
        <w:rPr>
          <w:rStyle w:val="Fotnotsreferens"/>
        </w:rPr>
        <w:footnoteRef/>
      </w:r>
      <w:r>
        <w:t xml:space="preserve"> </w:t>
      </w:r>
      <w:r w:rsidRPr="00AE3928">
        <w:rPr>
          <w:rFonts w:asciiTheme="minorHAnsi" w:hAnsiTheme="minorHAnsi"/>
          <w:sz w:val="16"/>
          <w:szCs w:val="20"/>
        </w:rPr>
        <w:t>enligt 7a § lag (1991:1128) om psykiatrisk tvångsvård</w:t>
      </w:r>
    </w:p>
  </w:footnote>
  <w:footnote w:id="4">
    <w:p w14:paraId="627D490E" w14:textId="77777777" w:rsidR="00AE3928" w:rsidRDefault="00AE392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AE3928">
        <w:rPr>
          <w:sz w:val="16"/>
        </w:rPr>
        <w:t>Meddelande om utskrivningsklar ska skickas före kl. 12:00 om den dagen ska räknas som dag 0.</w:t>
      </w:r>
    </w:p>
  </w:footnote>
  <w:footnote w:id="5">
    <w:p w14:paraId="4FD49527" w14:textId="6D84E19E" w:rsidR="009E3D04" w:rsidRPr="00F21EEC" w:rsidRDefault="009E3D04" w:rsidP="009E3D04">
      <w:pPr>
        <w:pStyle w:val="Default"/>
        <w:rPr>
          <w:sz w:val="16"/>
        </w:rPr>
      </w:pPr>
      <w:r w:rsidRPr="009E3D04">
        <w:rPr>
          <w:rStyle w:val="Fotnotsreferens"/>
        </w:rPr>
        <w:footnoteRef/>
      </w:r>
      <w:r w:rsidRPr="009E3D04">
        <w:t xml:space="preserve"> </w:t>
      </w:r>
      <w:r w:rsidRPr="009E3D04">
        <w:rPr>
          <w:rFonts w:asciiTheme="minorHAnsi" w:hAnsiTheme="minorHAnsi" w:cstheme="minorBidi"/>
          <w:color w:val="auto"/>
          <w:sz w:val="16"/>
          <w:szCs w:val="20"/>
        </w:rPr>
        <w:t xml:space="preserve">I december 2017 har Socialstyrelsen föreslagit beloppet 7100 kr/vårddygn: </w:t>
      </w:r>
      <w:r w:rsidRPr="009E3D04">
        <w:rPr>
          <w:sz w:val="16"/>
          <w:szCs w:val="20"/>
        </w:rPr>
        <w:t>Socialstyrelsens föreskrifter om belopp för vård av utskrivningsklara patienter</w:t>
      </w:r>
      <w:r w:rsidRPr="009E3D04">
        <w:rPr>
          <w:sz w:val="16"/>
        </w:rPr>
        <w:t xml:space="preserve"> </w:t>
      </w:r>
      <w:r w:rsidRPr="009E3D04">
        <w:rPr>
          <w:sz w:val="16"/>
          <w:szCs w:val="20"/>
        </w:rPr>
        <w:t>HSLF-FS 2017:xx</w:t>
      </w:r>
      <w:r w:rsidRPr="009E3D04">
        <w:rPr>
          <w:sz w:val="16"/>
        </w:rPr>
        <w:t xml:space="preserve"> </w:t>
      </w:r>
      <w:r w:rsidRPr="00AE2C5A">
        <w:rPr>
          <w:sz w:val="16"/>
        </w:rPr>
        <w:t>Regionen ansvarar för att meddela kommunerna beloppet i december inför kommande år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5074" w14:textId="52651E66" w:rsidR="00E47EFD" w:rsidRPr="00AB5EA8" w:rsidRDefault="009E3D04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396E0583" wp14:editId="4B229C5B">
          <wp:simplePos x="0" y="0"/>
          <wp:positionH relativeFrom="page">
            <wp:posOffset>4819650</wp:posOffset>
          </wp:positionH>
          <wp:positionV relativeFrom="topMargin">
            <wp:posOffset>608399</wp:posOffset>
          </wp:positionV>
          <wp:extent cx="1438455" cy="55245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5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0BC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554055F" wp14:editId="7D61FB6D">
          <wp:simplePos x="0" y="0"/>
          <wp:positionH relativeFrom="column">
            <wp:posOffset>-681355</wp:posOffset>
          </wp:positionH>
          <wp:positionV relativeFrom="paragraph">
            <wp:posOffset>-5715</wp:posOffset>
          </wp:positionV>
          <wp:extent cx="4173855" cy="1268730"/>
          <wp:effectExtent l="0" t="0" r="0" b="7620"/>
          <wp:wrapSquare wrapText="bothSides"/>
          <wp:docPr id="10" name="Bildobjekt 10" descr="\\larven\Home$\suzgor\Documents\2014 REGIONAL UTV grp\Handlingsplan inkl. kommentarer från ko.la\Skärmavbild 2015-02-24 kl. 15.29.5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rven\Home$\suzgor\Documents\2014 REGIONAL UTV grp\Handlingsplan inkl. kommentarer från ko.la\Skärmavbild 2015-02-24 kl. 15.29.5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4D4D4D"/>
        <w:lang w:eastAsia="sv-SE"/>
      </w:rPr>
      <w:drawing>
        <wp:inline distT="0" distB="0" distL="0" distR="0" wp14:anchorId="7295480A" wp14:editId="5E8FD9EE">
          <wp:extent cx="4176395" cy="1268095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5639">
      <w:rPr>
        <w:color w:val="4D4D4D"/>
      </w:rPr>
      <w:t xml:space="preserve"> </w:t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150894">
      <w:rPr>
        <w:noProof/>
        <w:color w:val="4D4D4D"/>
      </w:rPr>
      <w:t>3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150894" w:rsidRPr="00150894">
        <w:rPr>
          <w:noProof/>
          <w:color w:val="4D4D4D"/>
        </w:rPr>
        <w:t>6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DB61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2A6BBFF" wp14:editId="618708C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948E4"/>
    <w:multiLevelType w:val="hybridMultilevel"/>
    <w:tmpl w:val="3C4CADD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E52C1"/>
    <w:multiLevelType w:val="hybridMultilevel"/>
    <w:tmpl w:val="9E9EC24C"/>
    <w:lvl w:ilvl="0" w:tplc="185860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638F4"/>
    <w:multiLevelType w:val="hybridMultilevel"/>
    <w:tmpl w:val="4500828E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41644"/>
    <w:multiLevelType w:val="hybridMultilevel"/>
    <w:tmpl w:val="BB705094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10DBE"/>
    <w:multiLevelType w:val="hybridMultilevel"/>
    <w:tmpl w:val="3A60E30A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245FF"/>
    <w:multiLevelType w:val="hybridMultilevel"/>
    <w:tmpl w:val="2E62D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632"/>
    <w:multiLevelType w:val="hybridMultilevel"/>
    <w:tmpl w:val="7680868C"/>
    <w:lvl w:ilvl="0" w:tplc="FC70FCB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6C0D8">
      <w:numFmt w:val="bullet"/>
      <w:lvlText w:val="•"/>
      <w:lvlJc w:val="left"/>
      <w:pPr>
        <w:ind w:left="1440" w:hanging="360"/>
      </w:pPr>
      <w:rPr>
        <w:rFonts w:ascii="AGaramond" w:eastAsia="Times New Roman" w:hAnsi="AGaramond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B3EF4"/>
    <w:multiLevelType w:val="multilevel"/>
    <w:tmpl w:val="D1F68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62F9F"/>
    <w:multiLevelType w:val="hybridMultilevel"/>
    <w:tmpl w:val="5E3EE3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A7913"/>
    <w:multiLevelType w:val="hybridMultilevel"/>
    <w:tmpl w:val="642682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43241"/>
    <w:multiLevelType w:val="hybridMultilevel"/>
    <w:tmpl w:val="5CE41FFE"/>
    <w:lvl w:ilvl="0" w:tplc="8E665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A70"/>
    <w:multiLevelType w:val="multilevel"/>
    <w:tmpl w:val="B7A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B587E"/>
    <w:multiLevelType w:val="hybridMultilevel"/>
    <w:tmpl w:val="5F860E04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17067"/>
    <w:multiLevelType w:val="hybridMultilevel"/>
    <w:tmpl w:val="F710E2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8A9"/>
    <w:multiLevelType w:val="hybridMultilevel"/>
    <w:tmpl w:val="B3AA215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A9441F"/>
    <w:multiLevelType w:val="hybridMultilevel"/>
    <w:tmpl w:val="3502F578"/>
    <w:lvl w:ilvl="0" w:tplc="185860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2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20"/>
  </w:num>
  <w:num w:numId="10">
    <w:abstractNumId w:val="16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11"/>
  </w:num>
  <w:num w:numId="25">
    <w:abstractNumId w:val="29"/>
  </w:num>
  <w:num w:numId="26">
    <w:abstractNumId w:val="31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3"/>
  </w:num>
  <w:num w:numId="30">
    <w:abstractNumId w:val="28"/>
  </w:num>
  <w:num w:numId="31">
    <w:abstractNumId w:val="24"/>
  </w:num>
  <w:num w:numId="32">
    <w:abstractNumId w:val="15"/>
  </w:num>
  <w:num w:numId="33">
    <w:abstractNumId w:val="26"/>
  </w:num>
  <w:num w:numId="34">
    <w:abstractNumId w:val="22"/>
    <w:lvlOverride w:ilvl="0">
      <w:startOverride w:val="1"/>
    </w:lvlOverride>
  </w:num>
  <w:num w:numId="35">
    <w:abstractNumId w:val="27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13"/>
    <w:rsid w:val="00003DD7"/>
    <w:rsid w:val="000045CB"/>
    <w:rsid w:val="00012DA5"/>
    <w:rsid w:val="000364F5"/>
    <w:rsid w:val="0004443D"/>
    <w:rsid w:val="00051B26"/>
    <w:rsid w:val="000559F7"/>
    <w:rsid w:val="00060C2E"/>
    <w:rsid w:val="0006168A"/>
    <w:rsid w:val="00064E3C"/>
    <w:rsid w:val="00071D7F"/>
    <w:rsid w:val="00077AB2"/>
    <w:rsid w:val="00077D46"/>
    <w:rsid w:val="00077D67"/>
    <w:rsid w:val="00092A81"/>
    <w:rsid w:val="000A38B7"/>
    <w:rsid w:val="000B7CDE"/>
    <w:rsid w:val="000C2EF5"/>
    <w:rsid w:val="000C4469"/>
    <w:rsid w:val="000C6967"/>
    <w:rsid w:val="000E2BCC"/>
    <w:rsid w:val="000F4EDD"/>
    <w:rsid w:val="000F4FE4"/>
    <w:rsid w:val="000F6C04"/>
    <w:rsid w:val="001121C1"/>
    <w:rsid w:val="0011362E"/>
    <w:rsid w:val="00121764"/>
    <w:rsid w:val="00126A90"/>
    <w:rsid w:val="00136754"/>
    <w:rsid w:val="00150894"/>
    <w:rsid w:val="00166E8B"/>
    <w:rsid w:val="00180B64"/>
    <w:rsid w:val="00182CE0"/>
    <w:rsid w:val="0018483D"/>
    <w:rsid w:val="00190C5E"/>
    <w:rsid w:val="001A62BB"/>
    <w:rsid w:val="001B0D52"/>
    <w:rsid w:val="001B1282"/>
    <w:rsid w:val="001B2D44"/>
    <w:rsid w:val="001B4BE3"/>
    <w:rsid w:val="001B58E8"/>
    <w:rsid w:val="001B7097"/>
    <w:rsid w:val="001B71DC"/>
    <w:rsid w:val="001E1BEB"/>
    <w:rsid w:val="00217CC4"/>
    <w:rsid w:val="0022158A"/>
    <w:rsid w:val="0022259F"/>
    <w:rsid w:val="00223158"/>
    <w:rsid w:val="00225FFD"/>
    <w:rsid w:val="002406A7"/>
    <w:rsid w:val="0024266E"/>
    <w:rsid w:val="00242BFD"/>
    <w:rsid w:val="0025598C"/>
    <w:rsid w:val="0025719F"/>
    <w:rsid w:val="00275969"/>
    <w:rsid w:val="00275CC7"/>
    <w:rsid w:val="00277292"/>
    <w:rsid w:val="002776B9"/>
    <w:rsid w:val="00280384"/>
    <w:rsid w:val="00293FE9"/>
    <w:rsid w:val="002E598A"/>
    <w:rsid w:val="002E7947"/>
    <w:rsid w:val="002F00BE"/>
    <w:rsid w:val="002F3674"/>
    <w:rsid w:val="002F6B29"/>
    <w:rsid w:val="003151F4"/>
    <w:rsid w:val="003270B9"/>
    <w:rsid w:val="0035326B"/>
    <w:rsid w:val="00375A00"/>
    <w:rsid w:val="003841CF"/>
    <w:rsid w:val="003B00D6"/>
    <w:rsid w:val="003C325D"/>
    <w:rsid w:val="003F5483"/>
    <w:rsid w:val="003F6EEC"/>
    <w:rsid w:val="00400CDB"/>
    <w:rsid w:val="00402FB6"/>
    <w:rsid w:val="004032AC"/>
    <w:rsid w:val="00410A34"/>
    <w:rsid w:val="004446DE"/>
    <w:rsid w:val="00450704"/>
    <w:rsid w:val="00475373"/>
    <w:rsid w:val="004763A4"/>
    <w:rsid w:val="00485F89"/>
    <w:rsid w:val="00486302"/>
    <w:rsid w:val="004958B1"/>
    <w:rsid w:val="004A11F7"/>
    <w:rsid w:val="004B58DD"/>
    <w:rsid w:val="004E264B"/>
    <w:rsid w:val="004F0685"/>
    <w:rsid w:val="004F29E8"/>
    <w:rsid w:val="004F462C"/>
    <w:rsid w:val="00511E79"/>
    <w:rsid w:val="00516721"/>
    <w:rsid w:val="00531BB9"/>
    <w:rsid w:val="00537E25"/>
    <w:rsid w:val="00543ED2"/>
    <w:rsid w:val="00544271"/>
    <w:rsid w:val="005446D5"/>
    <w:rsid w:val="00544C1D"/>
    <w:rsid w:val="00545639"/>
    <w:rsid w:val="00552F8D"/>
    <w:rsid w:val="00560E21"/>
    <w:rsid w:val="00562738"/>
    <w:rsid w:val="005736E0"/>
    <w:rsid w:val="005831EF"/>
    <w:rsid w:val="005939B5"/>
    <w:rsid w:val="005A49D5"/>
    <w:rsid w:val="005A6A17"/>
    <w:rsid w:val="005B4D71"/>
    <w:rsid w:val="005C103C"/>
    <w:rsid w:val="005F030A"/>
    <w:rsid w:val="00600053"/>
    <w:rsid w:val="0061408B"/>
    <w:rsid w:val="00636904"/>
    <w:rsid w:val="0064178B"/>
    <w:rsid w:val="006446BF"/>
    <w:rsid w:val="006536B0"/>
    <w:rsid w:val="00654F6A"/>
    <w:rsid w:val="006759FC"/>
    <w:rsid w:val="00683253"/>
    <w:rsid w:val="006869DF"/>
    <w:rsid w:val="00687F5B"/>
    <w:rsid w:val="006A2CD3"/>
    <w:rsid w:val="006B285D"/>
    <w:rsid w:val="006B4615"/>
    <w:rsid w:val="006D4CA5"/>
    <w:rsid w:val="006E6F35"/>
    <w:rsid w:val="006F6651"/>
    <w:rsid w:val="00700FEC"/>
    <w:rsid w:val="0073162A"/>
    <w:rsid w:val="0074542B"/>
    <w:rsid w:val="00755B00"/>
    <w:rsid w:val="007615D7"/>
    <w:rsid w:val="0076277B"/>
    <w:rsid w:val="007701BA"/>
    <w:rsid w:val="00771348"/>
    <w:rsid w:val="00781B7E"/>
    <w:rsid w:val="00795451"/>
    <w:rsid w:val="007D0640"/>
    <w:rsid w:val="007D0F2F"/>
    <w:rsid w:val="007E4D01"/>
    <w:rsid w:val="007E5EB9"/>
    <w:rsid w:val="007F21C4"/>
    <w:rsid w:val="007F3EEE"/>
    <w:rsid w:val="007F7906"/>
    <w:rsid w:val="008212A3"/>
    <w:rsid w:val="0082473C"/>
    <w:rsid w:val="00826305"/>
    <w:rsid w:val="008350E1"/>
    <w:rsid w:val="00854E4A"/>
    <w:rsid w:val="0086196D"/>
    <w:rsid w:val="008715B0"/>
    <w:rsid w:val="00872913"/>
    <w:rsid w:val="00887BE6"/>
    <w:rsid w:val="008904A6"/>
    <w:rsid w:val="00893966"/>
    <w:rsid w:val="008B206A"/>
    <w:rsid w:val="008C7A2B"/>
    <w:rsid w:val="008D7340"/>
    <w:rsid w:val="008E6FD7"/>
    <w:rsid w:val="009057ED"/>
    <w:rsid w:val="009112F5"/>
    <w:rsid w:val="009248F9"/>
    <w:rsid w:val="00934B35"/>
    <w:rsid w:val="00935244"/>
    <w:rsid w:val="00940225"/>
    <w:rsid w:val="0095109C"/>
    <w:rsid w:val="00952645"/>
    <w:rsid w:val="00956710"/>
    <w:rsid w:val="00963260"/>
    <w:rsid w:val="00963A91"/>
    <w:rsid w:val="00964820"/>
    <w:rsid w:val="00985EE2"/>
    <w:rsid w:val="00996A13"/>
    <w:rsid w:val="00996E6D"/>
    <w:rsid w:val="009A51EC"/>
    <w:rsid w:val="009B5E02"/>
    <w:rsid w:val="009B6439"/>
    <w:rsid w:val="009C60CD"/>
    <w:rsid w:val="009D1456"/>
    <w:rsid w:val="009D3F94"/>
    <w:rsid w:val="009E3D04"/>
    <w:rsid w:val="009F5473"/>
    <w:rsid w:val="00A02232"/>
    <w:rsid w:val="00A039E9"/>
    <w:rsid w:val="00A20DC9"/>
    <w:rsid w:val="00A31534"/>
    <w:rsid w:val="00A3545E"/>
    <w:rsid w:val="00A46162"/>
    <w:rsid w:val="00A46603"/>
    <w:rsid w:val="00A579CA"/>
    <w:rsid w:val="00A6451E"/>
    <w:rsid w:val="00A67B4A"/>
    <w:rsid w:val="00A733AB"/>
    <w:rsid w:val="00A74E39"/>
    <w:rsid w:val="00A770F3"/>
    <w:rsid w:val="00A819AD"/>
    <w:rsid w:val="00A9556D"/>
    <w:rsid w:val="00AB302B"/>
    <w:rsid w:val="00AB467A"/>
    <w:rsid w:val="00AB5EA8"/>
    <w:rsid w:val="00AC41A4"/>
    <w:rsid w:val="00AD3F8B"/>
    <w:rsid w:val="00AD6DED"/>
    <w:rsid w:val="00AE0BCD"/>
    <w:rsid w:val="00AE2C5A"/>
    <w:rsid w:val="00AE3928"/>
    <w:rsid w:val="00AE6EA9"/>
    <w:rsid w:val="00AF4C74"/>
    <w:rsid w:val="00AF5970"/>
    <w:rsid w:val="00B24D39"/>
    <w:rsid w:val="00B27756"/>
    <w:rsid w:val="00B328D6"/>
    <w:rsid w:val="00B348C6"/>
    <w:rsid w:val="00B435FA"/>
    <w:rsid w:val="00B60A5D"/>
    <w:rsid w:val="00B6296F"/>
    <w:rsid w:val="00B817BF"/>
    <w:rsid w:val="00B87B4F"/>
    <w:rsid w:val="00BC0851"/>
    <w:rsid w:val="00BD7E94"/>
    <w:rsid w:val="00BE1AD0"/>
    <w:rsid w:val="00BE2068"/>
    <w:rsid w:val="00BE39E8"/>
    <w:rsid w:val="00BE7284"/>
    <w:rsid w:val="00BF1FCC"/>
    <w:rsid w:val="00BF2724"/>
    <w:rsid w:val="00C010BC"/>
    <w:rsid w:val="00C20E50"/>
    <w:rsid w:val="00C22B5A"/>
    <w:rsid w:val="00C23AFC"/>
    <w:rsid w:val="00C27B7A"/>
    <w:rsid w:val="00C348DB"/>
    <w:rsid w:val="00C722E5"/>
    <w:rsid w:val="00C7330A"/>
    <w:rsid w:val="00C75A27"/>
    <w:rsid w:val="00C83701"/>
    <w:rsid w:val="00C905A4"/>
    <w:rsid w:val="00C949DA"/>
    <w:rsid w:val="00C95FF0"/>
    <w:rsid w:val="00CC55ED"/>
    <w:rsid w:val="00CD0A1E"/>
    <w:rsid w:val="00CE3FC2"/>
    <w:rsid w:val="00D000A1"/>
    <w:rsid w:val="00D01831"/>
    <w:rsid w:val="00D0327D"/>
    <w:rsid w:val="00D04789"/>
    <w:rsid w:val="00D21159"/>
    <w:rsid w:val="00D22B89"/>
    <w:rsid w:val="00D34C1E"/>
    <w:rsid w:val="00D45B5A"/>
    <w:rsid w:val="00D46D41"/>
    <w:rsid w:val="00D54BCA"/>
    <w:rsid w:val="00D57221"/>
    <w:rsid w:val="00D70829"/>
    <w:rsid w:val="00D7086E"/>
    <w:rsid w:val="00D93BBF"/>
    <w:rsid w:val="00D969C7"/>
    <w:rsid w:val="00DA107F"/>
    <w:rsid w:val="00DA47E7"/>
    <w:rsid w:val="00DA5A46"/>
    <w:rsid w:val="00DB18AC"/>
    <w:rsid w:val="00DC2069"/>
    <w:rsid w:val="00DE67D1"/>
    <w:rsid w:val="00E03106"/>
    <w:rsid w:val="00E265AF"/>
    <w:rsid w:val="00E42AE0"/>
    <w:rsid w:val="00E47EFD"/>
    <w:rsid w:val="00E5537A"/>
    <w:rsid w:val="00E6548E"/>
    <w:rsid w:val="00E65DA0"/>
    <w:rsid w:val="00E704D0"/>
    <w:rsid w:val="00E80DD3"/>
    <w:rsid w:val="00E82FE2"/>
    <w:rsid w:val="00E97CE5"/>
    <w:rsid w:val="00EC3D78"/>
    <w:rsid w:val="00EC5E23"/>
    <w:rsid w:val="00EC61C0"/>
    <w:rsid w:val="00EF42A6"/>
    <w:rsid w:val="00F1373A"/>
    <w:rsid w:val="00F174D9"/>
    <w:rsid w:val="00F21EEC"/>
    <w:rsid w:val="00F25E5D"/>
    <w:rsid w:val="00F3451D"/>
    <w:rsid w:val="00F3525B"/>
    <w:rsid w:val="00F61B87"/>
    <w:rsid w:val="00F74AC7"/>
    <w:rsid w:val="00F76194"/>
    <w:rsid w:val="00F86032"/>
    <w:rsid w:val="00F863A9"/>
    <w:rsid w:val="00F86927"/>
    <w:rsid w:val="00F914D6"/>
    <w:rsid w:val="00F91949"/>
    <w:rsid w:val="00FA2B7E"/>
    <w:rsid w:val="00FA794C"/>
    <w:rsid w:val="00FB295F"/>
    <w:rsid w:val="00FC1130"/>
    <w:rsid w:val="00FD44A2"/>
    <w:rsid w:val="00FF0269"/>
    <w:rsid w:val="00FF0F95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EC8F08"/>
  <w15:chartTrackingRefBased/>
  <w15:docId w15:val="{9717D0C3-21FE-4756-B936-8AC00E3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rsid w:val="008904A6"/>
    <w:rPr>
      <w:rFonts w:ascii="AGaramond" w:eastAsia="Times New Roman" w:hAnsi="AGaramond" w:cs="Times New Roman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904A6"/>
    <w:rPr>
      <w:rFonts w:ascii="AGaramond" w:eastAsia="Times New Roman" w:hAnsi="AGaramond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6B29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000A1"/>
    <w:rPr>
      <w:rFonts w:asciiTheme="minorHAnsi" w:hAnsiTheme="minorHAns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00A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00A1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6F3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6F35"/>
    <w:rPr>
      <w:rFonts w:ascii="Arial Narrow" w:eastAsiaTheme="minorHAnsi" w:hAnsi="Arial Narrow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6F35"/>
    <w:rPr>
      <w:rFonts w:ascii="Arial Narrow" w:eastAsia="Times New Roman" w:hAnsi="Arial Narrow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6A2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ina%20Dokument\Hemsjukv&#229;rdsavtal\Losus%20utkast%201709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jh.se/samverk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A088A5-E917-40C1-9EDD-D1FACF48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7C559271.dotm</Template>
  <TotalTime>29</TotalTime>
  <Pages>6</Pages>
  <Words>1409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man_user</dc:creator>
  <cp:keywords/>
  <dc:description/>
  <cp:lastModifiedBy>Ingela Jönsson</cp:lastModifiedBy>
  <cp:revision>7</cp:revision>
  <cp:lastPrinted>2017-10-31T15:06:00Z</cp:lastPrinted>
  <dcterms:created xsi:type="dcterms:W3CDTF">2018-01-08T19:52:00Z</dcterms:created>
  <dcterms:modified xsi:type="dcterms:W3CDTF">2018-01-21T17:59:00Z</dcterms:modified>
</cp:coreProperties>
</file>