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364" w:type="dxa"/>
        <w:tblInd w:w="-34" w:type="dxa"/>
        <w:tblLook w:val="04A0" w:firstRow="1" w:lastRow="0" w:firstColumn="1" w:lastColumn="0" w:noHBand="0" w:noVBand="1"/>
      </w:tblPr>
      <w:tblGrid>
        <w:gridCol w:w="4111"/>
        <w:gridCol w:w="2410"/>
        <w:gridCol w:w="1843"/>
      </w:tblGrid>
      <w:tr w:rsidR="00094F3D" w:rsidRPr="00BC4FCE" w14:paraId="6DCC18DB" w14:textId="77777777" w:rsidTr="00916330">
        <w:trPr>
          <w:trHeight w:hRule="exact" w:val="230"/>
        </w:trPr>
        <w:tc>
          <w:tcPr>
            <w:tcW w:w="4111" w:type="dxa"/>
          </w:tcPr>
          <w:p w14:paraId="018047C1" w14:textId="4206D982" w:rsidR="00094F3D" w:rsidRPr="00BC4FCE" w:rsidRDefault="00596A67" w:rsidP="00BB4CF3">
            <w:bookmarkStart w:id="0" w:name="orgUnitName"/>
            <w:r>
              <w:t>Hållbar utveckling</w:t>
            </w:r>
            <w:bookmarkEnd w:id="0"/>
          </w:p>
        </w:tc>
        <w:tc>
          <w:tcPr>
            <w:tcW w:w="2410" w:type="dxa"/>
          </w:tcPr>
          <w:p w14:paraId="314D70CF" w14:textId="2D42E749" w:rsidR="00094F3D" w:rsidRPr="00BC4FCE" w:rsidRDefault="00596A67" w:rsidP="00BB4CF3">
            <w:bookmarkStart w:id="1" w:name="ShortCreatedDate"/>
            <w:r>
              <w:t>2021-03-04</w:t>
            </w:r>
            <w:bookmarkEnd w:id="1"/>
          </w:p>
        </w:tc>
        <w:tc>
          <w:tcPr>
            <w:tcW w:w="1843" w:type="dxa"/>
          </w:tcPr>
          <w:p w14:paraId="02ED89CC" w14:textId="4E1BFD0F" w:rsidR="00094F3D" w:rsidRPr="00BC4FCE" w:rsidRDefault="00596A67" w:rsidP="00BB4CF3">
            <w:bookmarkStart w:id="2" w:name="TopLevelIdentifier"/>
            <w:r>
              <w:t>RUN/134/2021</w:t>
            </w:r>
            <w:bookmarkEnd w:id="2"/>
          </w:p>
        </w:tc>
      </w:tr>
      <w:tr w:rsidR="00094F3D" w:rsidRPr="00BC4FCE" w14:paraId="6E2FC254" w14:textId="77777777" w:rsidTr="00916330">
        <w:trPr>
          <w:trHeight w:hRule="exact" w:val="230"/>
        </w:trPr>
        <w:tc>
          <w:tcPr>
            <w:tcW w:w="4111" w:type="dxa"/>
          </w:tcPr>
          <w:p w14:paraId="49E28588" w14:textId="7B577A39" w:rsidR="00094F3D" w:rsidRPr="00BC4FCE" w:rsidRDefault="00596A67" w:rsidP="00BB4CF3">
            <w:bookmarkStart w:id="3" w:name="CreatedByPersonAlias"/>
            <w:r>
              <w:t>Erik Noaksson</w:t>
            </w:r>
            <w:bookmarkEnd w:id="3"/>
          </w:p>
        </w:tc>
        <w:tc>
          <w:tcPr>
            <w:tcW w:w="2410" w:type="dxa"/>
          </w:tcPr>
          <w:p w14:paraId="12297DDD" w14:textId="77777777" w:rsidR="00094F3D" w:rsidRPr="00BC4FCE" w:rsidRDefault="00094F3D" w:rsidP="00BB4CF3"/>
        </w:tc>
        <w:tc>
          <w:tcPr>
            <w:tcW w:w="1843" w:type="dxa"/>
          </w:tcPr>
          <w:p w14:paraId="5CCE3763" w14:textId="77777777" w:rsidR="00094F3D" w:rsidRPr="00BC4FCE" w:rsidRDefault="00094F3D" w:rsidP="00BB4CF3"/>
        </w:tc>
      </w:tr>
      <w:tr w:rsidR="00F63C3C" w:rsidRPr="00BC4FCE" w14:paraId="35F0E14B" w14:textId="77777777" w:rsidTr="00916330">
        <w:trPr>
          <w:trHeight w:hRule="exact" w:val="230"/>
        </w:trPr>
        <w:tc>
          <w:tcPr>
            <w:tcW w:w="4111" w:type="dxa"/>
          </w:tcPr>
          <w:p w14:paraId="393F09E6" w14:textId="0E1BAA32" w:rsidR="00F63C3C" w:rsidRPr="00BC4FCE" w:rsidRDefault="00E123B0" w:rsidP="00BB4CF3">
            <w:r w:rsidRPr="00BC4FCE">
              <w:t xml:space="preserve">Tfn: </w:t>
            </w:r>
            <w:bookmarkStart w:id="4" w:name="CreatorWorkPhone"/>
            <w:r w:rsidR="00596A67">
              <w:t>063146562</w:t>
            </w:r>
            <w:bookmarkEnd w:id="4"/>
            <w:r w:rsidR="00FD057D" w:rsidRPr="00BC4FCE">
              <w:tab/>
            </w:r>
          </w:p>
        </w:tc>
        <w:tc>
          <w:tcPr>
            <w:tcW w:w="4253" w:type="dxa"/>
            <w:gridSpan w:val="2"/>
          </w:tcPr>
          <w:p w14:paraId="426BA049" w14:textId="77777777" w:rsidR="00F63C3C" w:rsidRPr="00BC4FCE" w:rsidRDefault="00F63C3C" w:rsidP="00BB4CF3"/>
        </w:tc>
      </w:tr>
      <w:tr w:rsidR="00F63C3C" w:rsidRPr="00BC4FCE" w14:paraId="05BBC6DE" w14:textId="77777777" w:rsidTr="00916330">
        <w:trPr>
          <w:trHeight w:hRule="exact" w:val="230"/>
        </w:trPr>
        <w:tc>
          <w:tcPr>
            <w:tcW w:w="4111" w:type="dxa"/>
          </w:tcPr>
          <w:p w14:paraId="74FFCCBD" w14:textId="4A5445B6" w:rsidR="00F63C3C" w:rsidRPr="00BC4FCE" w:rsidRDefault="00E123B0" w:rsidP="00BB4CF3">
            <w:r w:rsidRPr="00BC4FCE">
              <w:t>E-post:</w:t>
            </w:r>
            <w:r w:rsidR="000962DD" w:rsidRPr="00BC4FCE">
              <w:t xml:space="preserve"> </w:t>
            </w:r>
            <w:bookmarkStart w:id="5" w:name="CreatorWorkMail"/>
            <w:r w:rsidR="00596A67">
              <w:t>erik.noaksson@regionjh.se</w:t>
            </w:r>
            <w:bookmarkEnd w:id="5"/>
          </w:p>
        </w:tc>
        <w:tc>
          <w:tcPr>
            <w:tcW w:w="4253" w:type="dxa"/>
            <w:gridSpan w:val="2"/>
          </w:tcPr>
          <w:p w14:paraId="145E6E57" w14:textId="77777777" w:rsidR="00F63C3C" w:rsidRPr="00BC4FCE" w:rsidRDefault="00F63C3C" w:rsidP="00BB4CF3"/>
        </w:tc>
      </w:tr>
    </w:tbl>
    <w:p w14:paraId="0FC8DC29" w14:textId="77777777" w:rsidR="00BC5909" w:rsidRDefault="00BC5909">
      <w:pPr>
        <w:sectPr w:rsidR="00BC5909" w:rsidSect="003560B6">
          <w:headerReference w:type="even" r:id="rId8"/>
          <w:headerReference w:type="default" r:id="rId9"/>
          <w:footerReference w:type="even" r:id="rId10"/>
          <w:footerReference w:type="default" r:id="rId11"/>
          <w:headerReference w:type="first" r:id="rId12"/>
          <w:footerReference w:type="first" r:id="rId13"/>
          <w:type w:val="continuous"/>
          <w:pgSz w:w="11906" w:h="16838"/>
          <w:pgMar w:top="1230" w:right="1871" w:bottom="1701" w:left="1871" w:header="567" w:footer="170" w:gutter="0"/>
          <w:cols w:space="708"/>
          <w:docGrid w:linePitch="360"/>
        </w:sectPr>
      </w:pPr>
    </w:p>
    <w:p w14:paraId="27B2DC80" w14:textId="77777777" w:rsidR="00A50391" w:rsidRDefault="00A50391"/>
    <w:p w14:paraId="13C1D88B" w14:textId="6FD5ADFD" w:rsidR="00521765" w:rsidRPr="00C1085C" w:rsidRDefault="00596A67" w:rsidP="00C1085C">
      <w:pPr>
        <w:pStyle w:val="Rubrik1"/>
      </w:pPr>
      <w:bookmarkStart w:id="7" w:name="title"/>
      <w:r>
        <w:t xml:space="preserve">Svar på förfrågan från Näringsdepartementet angående </w:t>
      </w:r>
      <w:proofErr w:type="spellStart"/>
      <w:r>
        <w:t>FoI</w:t>
      </w:r>
      <w:proofErr w:type="spellEnd"/>
      <w:r>
        <w:t xml:space="preserve">-insatser kopplat till Covid-19 i Jämtlands län </w:t>
      </w:r>
      <w:bookmarkEnd w:id="7"/>
    </w:p>
    <w:p w14:paraId="0E9D0F43" w14:textId="625F9AC9" w:rsidR="00D15937" w:rsidRDefault="00D15937" w:rsidP="00D742E9"/>
    <w:p w14:paraId="73292870" w14:textId="77777777" w:rsidR="005C5F1E" w:rsidRDefault="005C5F1E" w:rsidP="005C5F1E">
      <w:pPr>
        <w:rPr>
          <w:rFonts w:ascii="Georgia" w:hAnsi="Georgia"/>
          <w:szCs w:val="20"/>
        </w:rPr>
      </w:pPr>
      <w:r>
        <w:rPr>
          <w:rFonts w:ascii="Georgia" w:hAnsi="Georgia"/>
          <w:szCs w:val="20"/>
        </w:rPr>
        <w:t>Sara Ludvigsson</w:t>
      </w:r>
    </w:p>
    <w:p w14:paraId="0D013BB0" w14:textId="77777777" w:rsidR="005C5F1E" w:rsidRDefault="005C5F1E" w:rsidP="005C5F1E">
      <w:pPr>
        <w:rPr>
          <w:rFonts w:ascii="Georgia" w:hAnsi="Georgia"/>
          <w:szCs w:val="20"/>
        </w:rPr>
      </w:pPr>
      <w:r>
        <w:rPr>
          <w:rFonts w:ascii="Georgia" w:hAnsi="Georgia"/>
          <w:szCs w:val="20"/>
        </w:rPr>
        <w:t>Praktikant på kansliet för innovations- och forskningskontoren i utlandet</w:t>
      </w:r>
    </w:p>
    <w:p w14:paraId="035B911A" w14:textId="77777777" w:rsidR="005C5F1E" w:rsidRDefault="005C5F1E" w:rsidP="005C5F1E">
      <w:pPr>
        <w:rPr>
          <w:rFonts w:ascii="Georgia" w:hAnsi="Georgia"/>
          <w:szCs w:val="20"/>
        </w:rPr>
      </w:pPr>
      <w:r>
        <w:rPr>
          <w:rFonts w:ascii="Georgia" w:hAnsi="Georgia"/>
          <w:szCs w:val="20"/>
        </w:rPr>
        <w:t>Sekretariatet för EU och internationella frågor</w:t>
      </w:r>
    </w:p>
    <w:p w14:paraId="54F546AB" w14:textId="4ECE12A9" w:rsidR="005C5F1E" w:rsidRDefault="005C5F1E" w:rsidP="005C5F1E">
      <w:pPr>
        <w:rPr>
          <w:rFonts w:ascii="Georgia" w:hAnsi="Georgia"/>
          <w:szCs w:val="20"/>
        </w:rPr>
      </w:pPr>
      <w:r>
        <w:rPr>
          <w:rFonts w:ascii="Georgia" w:hAnsi="Georgia"/>
          <w:szCs w:val="20"/>
        </w:rPr>
        <w:t>Näringsdepartementet</w:t>
      </w:r>
      <w:r w:rsidR="00363F99">
        <w:rPr>
          <w:rFonts w:ascii="Georgia" w:hAnsi="Georgia"/>
          <w:szCs w:val="20"/>
        </w:rPr>
        <w:t xml:space="preserve">, </w:t>
      </w:r>
      <w:r>
        <w:rPr>
          <w:rFonts w:ascii="Georgia" w:hAnsi="Georgia"/>
          <w:szCs w:val="20"/>
        </w:rPr>
        <w:t>111 21 Stockholm</w:t>
      </w:r>
    </w:p>
    <w:p w14:paraId="34EA316F" w14:textId="0DD9B3F1" w:rsidR="005C5F1E" w:rsidRDefault="005C5F1E" w:rsidP="005C5F1E">
      <w:pPr>
        <w:rPr>
          <w:rFonts w:ascii="Georgia" w:hAnsi="Georgia"/>
          <w:szCs w:val="20"/>
        </w:rPr>
      </w:pPr>
      <w:r>
        <w:rPr>
          <w:rFonts w:ascii="Georgia" w:hAnsi="Georgia"/>
          <w:szCs w:val="20"/>
        </w:rPr>
        <w:t>Tfn +46 (0) 8-405 96 74</w:t>
      </w:r>
      <w:r w:rsidR="00363F99">
        <w:rPr>
          <w:rFonts w:ascii="Georgia" w:hAnsi="Georgia"/>
          <w:szCs w:val="20"/>
        </w:rPr>
        <w:t xml:space="preserve">, </w:t>
      </w:r>
      <w:r>
        <w:rPr>
          <w:rFonts w:ascii="Georgia" w:hAnsi="Georgia"/>
          <w:szCs w:val="20"/>
        </w:rPr>
        <w:t>Mobil + 46 (0) 73-820 80 12</w:t>
      </w:r>
    </w:p>
    <w:p w14:paraId="08C20024" w14:textId="158C26DE" w:rsidR="00636AB3" w:rsidRDefault="00636AB3" w:rsidP="00D742E9"/>
    <w:p w14:paraId="26156875" w14:textId="77777777" w:rsidR="00363F99" w:rsidRDefault="00363F99" w:rsidP="00D742E9"/>
    <w:p w14:paraId="46C29B8C" w14:textId="77777777" w:rsidR="00636AB3" w:rsidRDefault="00636AB3" w:rsidP="00636AB3">
      <w:pPr>
        <w:rPr>
          <w:rFonts w:ascii="Georgia" w:hAnsi="Georgia"/>
          <w:b/>
          <w:bCs/>
          <w:szCs w:val="20"/>
        </w:rPr>
      </w:pPr>
      <w:r>
        <w:rPr>
          <w:rFonts w:ascii="Georgia" w:hAnsi="Georgia"/>
          <w:b/>
          <w:bCs/>
          <w:szCs w:val="20"/>
        </w:rPr>
        <w:t>Sammanfattning och bakgrund</w:t>
      </w:r>
    </w:p>
    <w:p w14:paraId="32D61384" w14:textId="77777777" w:rsidR="00636AB3" w:rsidRDefault="00636AB3" w:rsidP="00636AB3">
      <w:pPr>
        <w:rPr>
          <w:rFonts w:ascii="Georgia" w:hAnsi="Georgia"/>
          <w:szCs w:val="20"/>
        </w:rPr>
      </w:pPr>
    </w:p>
    <w:p w14:paraId="59B777A2" w14:textId="77777777" w:rsidR="00636AB3" w:rsidRDefault="00636AB3" w:rsidP="00636AB3">
      <w:pPr>
        <w:rPr>
          <w:rFonts w:ascii="Georgia" w:hAnsi="Georgia"/>
          <w:szCs w:val="20"/>
        </w:rPr>
      </w:pPr>
      <w:r>
        <w:rPr>
          <w:rFonts w:ascii="Georgia" w:hAnsi="Georgia"/>
          <w:szCs w:val="20"/>
        </w:rPr>
        <w:t xml:space="preserve">Region Jämtland Härjedalen har fått en förfrågan från Näringsdepartementet angående sammanställning av svenska forsknings- och innovationsinsatser kopplade till covid-19. I detta svar redovisar vi de, av oss kända, </w:t>
      </w:r>
      <w:proofErr w:type="spellStart"/>
      <w:r>
        <w:rPr>
          <w:rFonts w:ascii="Georgia" w:hAnsi="Georgia"/>
          <w:szCs w:val="20"/>
        </w:rPr>
        <w:t>FoI</w:t>
      </w:r>
      <w:proofErr w:type="spellEnd"/>
      <w:r>
        <w:rPr>
          <w:rFonts w:ascii="Georgia" w:hAnsi="Georgia"/>
          <w:szCs w:val="20"/>
        </w:rPr>
        <w:t xml:space="preserve">-initiativ som har gjorts i Jämtlands län kopplat till covid-19, </w:t>
      </w:r>
      <w:proofErr w:type="spellStart"/>
      <w:r>
        <w:rPr>
          <w:rFonts w:ascii="Georgia" w:hAnsi="Georgia"/>
          <w:szCs w:val="20"/>
        </w:rPr>
        <w:t>t.ex</w:t>
      </w:r>
      <w:proofErr w:type="spellEnd"/>
      <w:r>
        <w:rPr>
          <w:rFonts w:ascii="Georgia" w:hAnsi="Georgia"/>
          <w:szCs w:val="20"/>
        </w:rPr>
        <w:t xml:space="preserve"> covid-19 relaterade utlysningar, </w:t>
      </w:r>
      <w:proofErr w:type="spellStart"/>
      <w:r>
        <w:rPr>
          <w:rFonts w:ascii="Georgia" w:hAnsi="Georgia"/>
          <w:szCs w:val="20"/>
        </w:rPr>
        <w:t>FoI</w:t>
      </w:r>
      <w:proofErr w:type="spellEnd"/>
      <w:r>
        <w:rPr>
          <w:rFonts w:ascii="Georgia" w:hAnsi="Georgia"/>
          <w:szCs w:val="20"/>
        </w:rPr>
        <w:t>-samarbeten och forskningsinsatser etc. Syftet är att sammanställningen ska delas med de svenska innovations- och forskningsråden vid de svenska ambassaderna i utlandet för kunskapsutbyte och informationsdelning.</w:t>
      </w:r>
    </w:p>
    <w:p w14:paraId="28651A4D" w14:textId="73D8CAFC" w:rsidR="00636AB3" w:rsidRDefault="00636AB3" w:rsidP="00636AB3">
      <w:pPr>
        <w:rPr>
          <w:rFonts w:ascii="Georgia" w:hAnsi="Georgia"/>
          <w:szCs w:val="20"/>
        </w:rPr>
      </w:pPr>
    </w:p>
    <w:p w14:paraId="5EF02CB7" w14:textId="77777777" w:rsidR="00363F99" w:rsidRDefault="00363F99" w:rsidP="00636AB3">
      <w:pPr>
        <w:rPr>
          <w:rFonts w:ascii="Georgia" w:hAnsi="Georgia"/>
          <w:szCs w:val="20"/>
        </w:rPr>
      </w:pPr>
    </w:p>
    <w:p w14:paraId="49AEC122" w14:textId="77777777" w:rsidR="00636AB3" w:rsidRDefault="00636AB3" w:rsidP="00636AB3">
      <w:pPr>
        <w:rPr>
          <w:rFonts w:ascii="Georgia" w:hAnsi="Georgia"/>
          <w:b/>
          <w:bCs/>
          <w:szCs w:val="20"/>
        </w:rPr>
      </w:pPr>
      <w:r>
        <w:rPr>
          <w:rFonts w:ascii="Georgia" w:hAnsi="Georgia"/>
          <w:b/>
          <w:bCs/>
          <w:szCs w:val="20"/>
        </w:rPr>
        <w:t xml:space="preserve">Regionala exempel från Jämtland Härjedalen på </w:t>
      </w:r>
      <w:proofErr w:type="spellStart"/>
      <w:r>
        <w:rPr>
          <w:rFonts w:ascii="Georgia" w:hAnsi="Georgia"/>
          <w:b/>
          <w:bCs/>
          <w:szCs w:val="20"/>
        </w:rPr>
        <w:t>FoI</w:t>
      </w:r>
      <w:proofErr w:type="spellEnd"/>
      <w:r>
        <w:rPr>
          <w:rFonts w:ascii="Georgia" w:hAnsi="Georgia"/>
          <w:b/>
          <w:bCs/>
          <w:szCs w:val="20"/>
        </w:rPr>
        <w:t>-insatser i form av företagsstöd</w:t>
      </w:r>
    </w:p>
    <w:p w14:paraId="503401ED" w14:textId="77777777" w:rsidR="00636AB3" w:rsidRDefault="00636AB3" w:rsidP="00636AB3">
      <w:pPr>
        <w:rPr>
          <w:rFonts w:ascii="Georgia" w:hAnsi="Georgia"/>
          <w:szCs w:val="20"/>
        </w:rPr>
      </w:pPr>
    </w:p>
    <w:p w14:paraId="763AD35C" w14:textId="77777777" w:rsidR="00636AB3" w:rsidRDefault="00636AB3" w:rsidP="00636AB3">
      <w:pPr>
        <w:rPr>
          <w:rFonts w:ascii="Georgia" w:hAnsi="Georgia"/>
          <w:szCs w:val="20"/>
        </w:rPr>
      </w:pPr>
      <w:r>
        <w:rPr>
          <w:rFonts w:ascii="Georgia" w:hAnsi="Georgia"/>
          <w:szCs w:val="20"/>
        </w:rPr>
        <w:t xml:space="preserve">Region Jämtland Härjedalen driver två ramprojekt där anslag 1:1 används som medfinansiering i projekt med stöd från Europeiska regionala utvecklingsfonden (ERUF). </w:t>
      </w:r>
    </w:p>
    <w:p w14:paraId="49CB70B3" w14:textId="77777777" w:rsidR="00636AB3" w:rsidRDefault="00636AB3" w:rsidP="00636AB3">
      <w:pPr>
        <w:rPr>
          <w:rFonts w:ascii="Georgia" w:hAnsi="Georgia"/>
          <w:szCs w:val="20"/>
        </w:rPr>
      </w:pPr>
    </w:p>
    <w:p w14:paraId="1CAF5BAC" w14:textId="77777777" w:rsidR="00636AB3" w:rsidRDefault="00636AB3" w:rsidP="00636AB3">
      <w:pPr>
        <w:rPr>
          <w:rFonts w:ascii="Georgia" w:hAnsi="Georgia"/>
          <w:szCs w:val="20"/>
        </w:rPr>
      </w:pPr>
      <w:r>
        <w:rPr>
          <w:rFonts w:ascii="Georgia" w:hAnsi="Georgia"/>
          <w:szCs w:val="20"/>
        </w:rPr>
        <w:t xml:space="preserve">Det ena ramprojektet drivs inom Tillväxtverket utlysning </w:t>
      </w:r>
      <w:r>
        <w:rPr>
          <w:rFonts w:ascii="Georgia" w:hAnsi="Georgia"/>
          <w:i/>
          <w:iCs/>
          <w:szCs w:val="20"/>
        </w:rPr>
        <w:t xml:space="preserve">Hjälp att klara </w:t>
      </w:r>
      <w:proofErr w:type="spellStart"/>
      <w:r>
        <w:rPr>
          <w:rFonts w:ascii="Georgia" w:hAnsi="Georgia"/>
          <w:i/>
          <w:iCs/>
          <w:szCs w:val="20"/>
        </w:rPr>
        <w:t>coronakrisen</w:t>
      </w:r>
      <w:proofErr w:type="spellEnd"/>
      <w:r>
        <w:rPr>
          <w:rFonts w:ascii="Georgia" w:hAnsi="Georgia"/>
          <w:i/>
          <w:iCs/>
          <w:szCs w:val="20"/>
        </w:rPr>
        <w:t xml:space="preserve"> i Mellersta Norrland</w:t>
      </w:r>
      <w:r>
        <w:rPr>
          <w:rFonts w:ascii="Georgia" w:hAnsi="Georgia"/>
          <w:szCs w:val="20"/>
        </w:rPr>
        <w:t xml:space="preserve"> som var riktad till regionalt utvecklingsansvariga aktörer i Mellersta Norrland. Projektet hanterar företagsstöd till små och medelstora företag som blivit drabbade av </w:t>
      </w:r>
      <w:proofErr w:type="spellStart"/>
      <w:r>
        <w:rPr>
          <w:rFonts w:ascii="Georgia" w:hAnsi="Georgia"/>
          <w:szCs w:val="20"/>
        </w:rPr>
        <w:t>coronakrisens</w:t>
      </w:r>
      <w:proofErr w:type="spellEnd"/>
      <w:r>
        <w:rPr>
          <w:rFonts w:ascii="Georgia" w:hAnsi="Georgia"/>
          <w:szCs w:val="20"/>
        </w:rPr>
        <w:t xml:space="preserve"> negativa effekter på näringslivet. 13 274 999 miljoner kronor beviljades i stöd från ERUF. </w:t>
      </w:r>
    </w:p>
    <w:p w14:paraId="0E5C8465" w14:textId="77777777" w:rsidR="00636AB3" w:rsidRDefault="00636AB3" w:rsidP="00636AB3">
      <w:pPr>
        <w:rPr>
          <w:rFonts w:ascii="Georgia" w:hAnsi="Georgia"/>
          <w:szCs w:val="20"/>
        </w:rPr>
      </w:pPr>
    </w:p>
    <w:p w14:paraId="0E4FBEEE" w14:textId="1C455F4C" w:rsidR="00636AB3" w:rsidRDefault="00636AB3" w:rsidP="00636AB3">
      <w:pPr>
        <w:rPr>
          <w:rFonts w:ascii="Georgia" w:hAnsi="Georgia"/>
          <w:szCs w:val="20"/>
        </w:rPr>
      </w:pPr>
      <w:r>
        <w:rPr>
          <w:rFonts w:ascii="Georgia" w:hAnsi="Georgia"/>
          <w:szCs w:val="20"/>
        </w:rPr>
        <w:t xml:space="preserve">I oktober beviljades Region Jämtland Härjedalen ytterligare medfinansiering till ett ramprojekt, denna gång inom Tillväxtverkets utlysning </w:t>
      </w:r>
      <w:r>
        <w:rPr>
          <w:rFonts w:ascii="Georgia" w:hAnsi="Georgia"/>
          <w:i/>
          <w:iCs/>
          <w:szCs w:val="20"/>
        </w:rPr>
        <w:t>Branschsatsning – rädda företag inom besöksnäringen</w:t>
      </w:r>
      <w:r>
        <w:rPr>
          <w:rFonts w:ascii="Georgia" w:hAnsi="Georgia"/>
          <w:szCs w:val="20"/>
        </w:rPr>
        <w:t xml:space="preserve">. Det ramprojektet har 5 000 000 kronor i EU-stöd från det nationella regionalfondsprogrammet och hanterar totalt 3 000 000 kronor till företagsstöd och 5 500 000 kronor till köp av tjänster som ska stödja besöksnäringens omställning. Se mera information på: </w:t>
      </w:r>
      <w:hyperlink r:id="rId14" w:history="1">
        <w:r>
          <w:rPr>
            <w:rStyle w:val="Hyperlnk"/>
            <w:rFonts w:ascii="Georgia" w:hAnsi="Georgia"/>
            <w:szCs w:val="20"/>
          </w:rPr>
          <w:t>https://www.regionjh.se/regionalutveckling/regionaltutvecklingsansvar/naringsliv/foretagsstod.4.15591b8415700f7566b43c6a.html</w:t>
        </w:r>
      </w:hyperlink>
      <w:r>
        <w:rPr>
          <w:rFonts w:ascii="Georgia" w:hAnsi="Georgia"/>
          <w:szCs w:val="20"/>
        </w:rPr>
        <w:t xml:space="preserve"> </w:t>
      </w:r>
    </w:p>
    <w:p w14:paraId="245C78B2" w14:textId="77777777" w:rsidR="00636AB3" w:rsidRDefault="00636AB3" w:rsidP="00636AB3">
      <w:pPr>
        <w:rPr>
          <w:rFonts w:ascii="Georgia" w:hAnsi="Georgia"/>
          <w:szCs w:val="20"/>
        </w:rPr>
      </w:pPr>
    </w:p>
    <w:p w14:paraId="0A8EFC0A" w14:textId="77777777" w:rsidR="00636AB3" w:rsidRDefault="00636AB3" w:rsidP="00636AB3">
      <w:pPr>
        <w:rPr>
          <w:rFonts w:ascii="Georgia" w:hAnsi="Georgia"/>
          <w:szCs w:val="20"/>
        </w:rPr>
      </w:pPr>
      <w:r>
        <w:rPr>
          <w:rFonts w:ascii="Georgia" w:hAnsi="Georgia"/>
          <w:szCs w:val="20"/>
        </w:rPr>
        <w:t xml:space="preserve">I ramprojekteten finns inget erbjudande om företagsstöd till forsknings- och utvecklingsprojekt (paragraf 16 SFS 2015:210) utan företagsstöden inom ramprojekten ska ses som en bredare finansiering av innovations- och omställningsåtgärder för att möta de nya marknadsförutsättningar och affärsmöjligheter som pandemins effekter har skapat. </w:t>
      </w:r>
    </w:p>
    <w:p w14:paraId="1E007ED9" w14:textId="77777777" w:rsidR="00636AB3" w:rsidRDefault="00636AB3" w:rsidP="00636AB3">
      <w:pPr>
        <w:rPr>
          <w:rFonts w:ascii="Georgia" w:hAnsi="Georgia"/>
          <w:b/>
          <w:bCs/>
          <w:szCs w:val="20"/>
        </w:rPr>
      </w:pPr>
      <w:r>
        <w:rPr>
          <w:rFonts w:ascii="Georgia" w:hAnsi="Georgia"/>
          <w:b/>
          <w:bCs/>
          <w:szCs w:val="20"/>
        </w:rPr>
        <w:lastRenderedPageBreak/>
        <w:t xml:space="preserve">Regionala exempel från Jämtland Härjedalen på </w:t>
      </w:r>
      <w:proofErr w:type="spellStart"/>
      <w:r>
        <w:rPr>
          <w:rFonts w:ascii="Georgia" w:hAnsi="Georgia"/>
          <w:b/>
          <w:bCs/>
          <w:szCs w:val="20"/>
        </w:rPr>
        <w:t>FoI</w:t>
      </w:r>
      <w:proofErr w:type="spellEnd"/>
      <w:r>
        <w:rPr>
          <w:rFonts w:ascii="Georgia" w:hAnsi="Georgia"/>
          <w:b/>
          <w:bCs/>
          <w:szCs w:val="20"/>
        </w:rPr>
        <w:t>-insatser i form av projektstöd</w:t>
      </w:r>
    </w:p>
    <w:p w14:paraId="140F1F47" w14:textId="77777777" w:rsidR="00636AB3" w:rsidRDefault="00636AB3" w:rsidP="00636AB3">
      <w:pPr>
        <w:rPr>
          <w:rFonts w:ascii="Georgia" w:hAnsi="Georgia"/>
          <w:szCs w:val="20"/>
        </w:rPr>
      </w:pPr>
    </w:p>
    <w:p w14:paraId="232FB578" w14:textId="2C65A301" w:rsidR="00636AB3" w:rsidRDefault="00636AB3" w:rsidP="00636AB3">
      <w:pPr>
        <w:rPr>
          <w:rFonts w:ascii="Georgia" w:hAnsi="Georgia"/>
          <w:szCs w:val="20"/>
        </w:rPr>
      </w:pPr>
      <w:r>
        <w:rPr>
          <w:rFonts w:ascii="Georgia" w:hAnsi="Georgia"/>
          <w:szCs w:val="20"/>
        </w:rPr>
        <w:t xml:space="preserve">Vi är med i ESF-projektet </w:t>
      </w:r>
      <w:proofErr w:type="spellStart"/>
      <w:r>
        <w:rPr>
          <w:rFonts w:ascii="Georgia" w:hAnsi="Georgia"/>
          <w:szCs w:val="20"/>
        </w:rPr>
        <w:t>Handleskraft</w:t>
      </w:r>
      <w:proofErr w:type="spellEnd"/>
      <w:r>
        <w:rPr>
          <w:rFonts w:ascii="Georgia" w:hAnsi="Georgia"/>
          <w:szCs w:val="20"/>
        </w:rPr>
        <w:t xml:space="preserve"> där Region Västernorrland är projektägare. Utlysningen från ESF var en extrautlysning i och med Covid-19. Det handlar om att stötta handelsbranschen som är hårt drabbad av krisen. Du kan läsa mer om projektet här (</w:t>
      </w:r>
      <w:hyperlink r:id="rId15" w:history="1">
        <w:r>
          <w:rPr>
            <w:rStyle w:val="Hyperlnk"/>
            <w:rFonts w:ascii="Georgia" w:hAnsi="Georgia"/>
            <w:szCs w:val="20"/>
          </w:rPr>
          <w:t>https://www.rvn.se/sv/Utveckling/Vara-projekt/handelskraft/</w:t>
        </w:r>
      </w:hyperlink>
      <w:r>
        <w:rPr>
          <w:rFonts w:ascii="Georgia" w:hAnsi="Georgia"/>
          <w:szCs w:val="20"/>
        </w:rPr>
        <w:t xml:space="preserve"> )</w:t>
      </w:r>
    </w:p>
    <w:p w14:paraId="78518BCA" w14:textId="77777777" w:rsidR="00636AB3" w:rsidRDefault="00636AB3" w:rsidP="00636AB3">
      <w:pPr>
        <w:rPr>
          <w:rFonts w:ascii="Georgia" w:hAnsi="Georgia"/>
          <w:szCs w:val="20"/>
        </w:rPr>
      </w:pPr>
    </w:p>
    <w:p w14:paraId="6B6CC45C" w14:textId="77777777" w:rsidR="00636AB3" w:rsidRDefault="00636AB3" w:rsidP="00636AB3">
      <w:pPr>
        <w:rPr>
          <w:rFonts w:ascii="Georgia" w:hAnsi="Georgia"/>
          <w:b/>
          <w:bCs/>
          <w:szCs w:val="20"/>
        </w:rPr>
      </w:pPr>
    </w:p>
    <w:p w14:paraId="46B5E08D" w14:textId="77777777" w:rsidR="00636AB3" w:rsidRDefault="00636AB3" w:rsidP="00636AB3">
      <w:pPr>
        <w:rPr>
          <w:rFonts w:ascii="Georgia" w:hAnsi="Georgia"/>
          <w:b/>
          <w:bCs/>
          <w:szCs w:val="20"/>
        </w:rPr>
      </w:pPr>
      <w:r>
        <w:rPr>
          <w:rFonts w:ascii="Georgia" w:hAnsi="Georgia"/>
          <w:b/>
          <w:bCs/>
          <w:szCs w:val="20"/>
        </w:rPr>
        <w:t xml:space="preserve">Regionala exempel från Jämtland Härjedalen på </w:t>
      </w:r>
      <w:proofErr w:type="spellStart"/>
      <w:r>
        <w:rPr>
          <w:rFonts w:ascii="Georgia" w:hAnsi="Georgia"/>
          <w:b/>
          <w:bCs/>
          <w:szCs w:val="20"/>
        </w:rPr>
        <w:t>FoI</w:t>
      </w:r>
      <w:proofErr w:type="spellEnd"/>
      <w:r>
        <w:rPr>
          <w:rFonts w:ascii="Georgia" w:hAnsi="Georgia"/>
          <w:b/>
          <w:bCs/>
          <w:szCs w:val="20"/>
        </w:rPr>
        <w:t>-insatser i form av stöd till Kulturella och Kreativa näringar (KKN)</w:t>
      </w:r>
    </w:p>
    <w:p w14:paraId="4A74670D" w14:textId="77777777" w:rsidR="00636AB3" w:rsidRDefault="00636AB3" w:rsidP="00636AB3">
      <w:pPr>
        <w:rPr>
          <w:rFonts w:ascii="Georgia" w:hAnsi="Georgia"/>
          <w:szCs w:val="20"/>
        </w:rPr>
      </w:pPr>
    </w:p>
    <w:p w14:paraId="6EA231CA" w14:textId="77777777" w:rsidR="00636AB3" w:rsidRDefault="00636AB3" w:rsidP="00636AB3">
      <w:pPr>
        <w:rPr>
          <w:rFonts w:ascii="Georgia" w:hAnsi="Georgia"/>
          <w:szCs w:val="20"/>
        </w:rPr>
      </w:pPr>
      <w:r>
        <w:rPr>
          <w:rFonts w:ascii="Georgia" w:hAnsi="Georgia"/>
          <w:szCs w:val="20"/>
        </w:rPr>
        <w:t xml:space="preserve">Insatser genom utbildning tjänstedesign och utveckling av digital kulturförmedling. </w:t>
      </w:r>
    </w:p>
    <w:p w14:paraId="5F5D0AF1" w14:textId="77777777" w:rsidR="00636AB3" w:rsidRDefault="00636AB3" w:rsidP="00636AB3">
      <w:pPr>
        <w:rPr>
          <w:rFonts w:ascii="Georgia" w:hAnsi="Georgia"/>
          <w:szCs w:val="20"/>
        </w:rPr>
      </w:pPr>
      <w:r>
        <w:rPr>
          <w:rFonts w:ascii="Georgia" w:hAnsi="Georgia"/>
          <w:szCs w:val="20"/>
        </w:rPr>
        <w:t>Ex Digital scen, interaktiva skolföreställningar, digital fortbildning.</w:t>
      </w:r>
    </w:p>
    <w:p w14:paraId="0F79A36F" w14:textId="77777777" w:rsidR="00636AB3" w:rsidRDefault="00636AB3" w:rsidP="00636AB3">
      <w:pPr>
        <w:rPr>
          <w:rFonts w:ascii="Georgia" w:hAnsi="Georgia"/>
          <w:szCs w:val="20"/>
        </w:rPr>
      </w:pPr>
    </w:p>
    <w:p w14:paraId="487F91AC" w14:textId="77777777" w:rsidR="00636AB3" w:rsidRDefault="00636AB3" w:rsidP="00636AB3">
      <w:pPr>
        <w:rPr>
          <w:rFonts w:ascii="Georgia" w:hAnsi="Georgia"/>
          <w:szCs w:val="20"/>
        </w:rPr>
      </w:pPr>
      <w:r>
        <w:rPr>
          <w:rFonts w:ascii="Georgia" w:hAnsi="Georgia"/>
          <w:szCs w:val="20"/>
        </w:rPr>
        <w:t>De insatser vi gjort genom grundutbildning i tjänstedesign handlar kort om att utveckla tjänster med utgångspunkt i användarens behov:</w:t>
      </w:r>
    </w:p>
    <w:p w14:paraId="61043DBD" w14:textId="522B2046" w:rsidR="00636AB3" w:rsidRDefault="0056572C" w:rsidP="00636AB3">
      <w:pPr>
        <w:rPr>
          <w:rFonts w:ascii="Georgia" w:hAnsi="Georgia"/>
          <w:szCs w:val="20"/>
        </w:rPr>
      </w:pPr>
      <w:hyperlink r:id="rId16" w:history="1">
        <w:r w:rsidR="00636AB3">
          <w:rPr>
            <w:rStyle w:val="Hyperlnk"/>
            <w:rFonts w:ascii="Georgia" w:hAnsi="Georgia"/>
            <w:szCs w:val="20"/>
          </w:rPr>
          <w:t>https://designcentrum.se/designcentrum/kalendarium/kalendarium/2021-01-13-grundkurs-i-tjanstedesign-for-offentlig-sektor.html</w:t>
        </w:r>
      </w:hyperlink>
    </w:p>
    <w:p w14:paraId="7AC155B8" w14:textId="77777777" w:rsidR="00636AB3" w:rsidRDefault="00636AB3" w:rsidP="00636AB3">
      <w:pPr>
        <w:rPr>
          <w:rFonts w:ascii="Georgia" w:hAnsi="Georgia"/>
          <w:szCs w:val="20"/>
        </w:rPr>
      </w:pPr>
    </w:p>
    <w:p w14:paraId="660280C8" w14:textId="77777777" w:rsidR="00636AB3" w:rsidRDefault="00636AB3" w:rsidP="00636AB3">
      <w:pPr>
        <w:rPr>
          <w:rFonts w:ascii="Georgia" w:hAnsi="Georgia"/>
          <w:szCs w:val="20"/>
        </w:rPr>
      </w:pPr>
      <w:r>
        <w:rPr>
          <w:rFonts w:ascii="Georgia" w:hAnsi="Georgia"/>
          <w:szCs w:val="20"/>
        </w:rPr>
        <w:t>Utveckling av digital kulturförmedling gällande scenkonst:</w:t>
      </w:r>
    </w:p>
    <w:p w14:paraId="09136C20" w14:textId="5B81FF23" w:rsidR="00636AB3" w:rsidRDefault="0056572C" w:rsidP="00636AB3">
      <w:pPr>
        <w:rPr>
          <w:rFonts w:ascii="Georgia" w:hAnsi="Georgia"/>
          <w:szCs w:val="20"/>
        </w:rPr>
      </w:pPr>
      <w:hyperlink r:id="rId17" w:history="1">
        <w:r w:rsidR="00636AB3">
          <w:rPr>
            <w:rStyle w:val="Hyperlnk"/>
            <w:rFonts w:ascii="Georgia" w:hAnsi="Georgia"/>
            <w:szCs w:val="20"/>
          </w:rPr>
          <w:t>https://www.google.com/searchq=estrad+norr+digital+scen&amp;oq=estdrad+&amp;aqs=chrome.2.69i57j0i13l6j46i13.3572j0j7&amp;sourceid=chrome&amp;ie=UTF-8</w:t>
        </w:r>
      </w:hyperlink>
    </w:p>
    <w:p w14:paraId="4927B794" w14:textId="77777777" w:rsidR="00636AB3" w:rsidRDefault="00636AB3" w:rsidP="00636AB3">
      <w:pPr>
        <w:rPr>
          <w:rFonts w:ascii="Georgia" w:hAnsi="Georgia"/>
          <w:szCs w:val="20"/>
        </w:rPr>
      </w:pPr>
    </w:p>
    <w:p w14:paraId="13BA8C33" w14:textId="77777777" w:rsidR="00636AB3" w:rsidRDefault="00636AB3" w:rsidP="00636AB3">
      <w:pPr>
        <w:rPr>
          <w:rFonts w:ascii="Georgia" w:hAnsi="Georgia"/>
          <w:szCs w:val="20"/>
        </w:rPr>
      </w:pPr>
      <w:r>
        <w:rPr>
          <w:rFonts w:ascii="Georgia" w:hAnsi="Georgia"/>
          <w:szCs w:val="20"/>
        </w:rPr>
        <w:t>Regionala biblioteksverksamheten och andra främjande verksamheter se kulturens hemsida, område för område (www.regionjh.se)</w:t>
      </w:r>
    </w:p>
    <w:p w14:paraId="76A1356C" w14:textId="77777777" w:rsidR="00636AB3" w:rsidRDefault="00636AB3" w:rsidP="00636AB3">
      <w:pPr>
        <w:rPr>
          <w:rFonts w:ascii="Georgia" w:hAnsi="Georgia"/>
          <w:szCs w:val="20"/>
        </w:rPr>
      </w:pPr>
    </w:p>
    <w:p w14:paraId="218B7995" w14:textId="77777777" w:rsidR="00636AB3" w:rsidRDefault="00636AB3" w:rsidP="00636AB3">
      <w:pPr>
        <w:rPr>
          <w:rFonts w:ascii="Georgia" w:hAnsi="Georgia"/>
          <w:szCs w:val="20"/>
        </w:rPr>
      </w:pPr>
    </w:p>
    <w:p w14:paraId="7EC3FAA7" w14:textId="77777777" w:rsidR="00636AB3" w:rsidRDefault="00636AB3" w:rsidP="00636AB3">
      <w:pPr>
        <w:rPr>
          <w:rFonts w:ascii="Georgia" w:hAnsi="Georgia"/>
          <w:b/>
          <w:bCs/>
          <w:szCs w:val="20"/>
        </w:rPr>
      </w:pPr>
      <w:r>
        <w:rPr>
          <w:rFonts w:ascii="Georgia" w:hAnsi="Georgia"/>
          <w:b/>
          <w:bCs/>
          <w:szCs w:val="20"/>
        </w:rPr>
        <w:t xml:space="preserve">Regionala exempel från Jämtland Härjedalen på </w:t>
      </w:r>
      <w:proofErr w:type="spellStart"/>
      <w:r>
        <w:rPr>
          <w:rFonts w:ascii="Georgia" w:hAnsi="Georgia"/>
          <w:b/>
          <w:bCs/>
          <w:szCs w:val="20"/>
        </w:rPr>
        <w:t>FoI</w:t>
      </w:r>
      <w:proofErr w:type="spellEnd"/>
      <w:r>
        <w:rPr>
          <w:rFonts w:ascii="Georgia" w:hAnsi="Georgia"/>
          <w:b/>
          <w:bCs/>
          <w:szCs w:val="20"/>
        </w:rPr>
        <w:t>-insatser i form av forskningsinitiativ via Mittuniversitetet</w:t>
      </w:r>
    </w:p>
    <w:p w14:paraId="3F73DB58" w14:textId="77777777" w:rsidR="00636AB3" w:rsidRDefault="00636AB3" w:rsidP="00636AB3">
      <w:pPr>
        <w:rPr>
          <w:rFonts w:ascii="Georgia" w:hAnsi="Georgia"/>
          <w:szCs w:val="20"/>
        </w:rPr>
      </w:pPr>
    </w:p>
    <w:p w14:paraId="5AB2906A" w14:textId="77777777" w:rsidR="00636AB3" w:rsidRDefault="00636AB3" w:rsidP="00636AB3">
      <w:pPr>
        <w:rPr>
          <w:rFonts w:ascii="Georgia" w:hAnsi="Georgia"/>
          <w:szCs w:val="20"/>
        </w:rPr>
      </w:pPr>
      <w:r>
        <w:rPr>
          <w:rFonts w:ascii="Georgia" w:hAnsi="Georgia"/>
          <w:szCs w:val="20"/>
        </w:rPr>
        <w:t>Mittuniversitetet har blivit ombed att hjälpa SUHF med att synliggöra lärosätenas heroiska insatser under Covid19-pandemin.</w:t>
      </w:r>
    </w:p>
    <w:p w14:paraId="0F5B1D5C" w14:textId="77777777" w:rsidR="00636AB3" w:rsidRDefault="00636AB3" w:rsidP="00636AB3">
      <w:pPr>
        <w:rPr>
          <w:rFonts w:ascii="Georgia" w:hAnsi="Georgia"/>
          <w:szCs w:val="20"/>
        </w:rPr>
      </w:pPr>
    </w:p>
    <w:p w14:paraId="358206A6" w14:textId="77777777" w:rsidR="00636AB3" w:rsidRDefault="00636AB3" w:rsidP="00636AB3">
      <w:pPr>
        <w:rPr>
          <w:rFonts w:ascii="Georgia" w:hAnsi="Georgia"/>
          <w:szCs w:val="20"/>
        </w:rPr>
      </w:pPr>
      <w:r>
        <w:rPr>
          <w:rFonts w:ascii="Georgia" w:hAnsi="Georgia"/>
          <w:szCs w:val="20"/>
        </w:rPr>
        <w:t>Covid19-pandemin har prövat Mittuniversitetets förmåga att snabbt ställa om i och med rekommendationen om nätbaserad undervisning. Pandemin har visat att Mittuniversitet har engagerad personal som tar sig an utmaningar och är flexibla när uppdrag förändras. Medarbetare har ändrat sina sätt att undervisa och i vissa fall har medarbetare fått ändrade arbetsuppgifter. Nya kommunikationsverktyg kopplat till studenter och medarbetare har snabbt utvecklats och arbetet med att utveckla nya sätt att genomföra rättssäkra examinationer har intensifierats. Disputationer har skett digitalt.</w:t>
      </w:r>
    </w:p>
    <w:p w14:paraId="5845D8EF" w14:textId="77777777" w:rsidR="00636AB3" w:rsidRDefault="00636AB3" w:rsidP="00636AB3">
      <w:pPr>
        <w:rPr>
          <w:rFonts w:ascii="Georgia" w:hAnsi="Georgia"/>
          <w:szCs w:val="20"/>
        </w:rPr>
      </w:pPr>
    </w:p>
    <w:p w14:paraId="0AA01F5F" w14:textId="77777777" w:rsidR="00636AB3" w:rsidRDefault="00636AB3" w:rsidP="00636AB3">
      <w:pPr>
        <w:rPr>
          <w:rFonts w:ascii="Georgia" w:hAnsi="Georgia"/>
          <w:szCs w:val="20"/>
        </w:rPr>
      </w:pPr>
      <w:r>
        <w:rPr>
          <w:rFonts w:ascii="Georgia" w:hAnsi="Georgia"/>
          <w:szCs w:val="20"/>
        </w:rPr>
        <w:t>Exempel på insatser som Mittuniversitetet genomfört under Covid19-pandemin finns utförligt redovisade i bilagan ”</w:t>
      </w:r>
      <w:r>
        <w:rPr>
          <w:rFonts w:ascii="Georgia" w:hAnsi="Georgia"/>
          <w:i/>
          <w:iCs/>
          <w:szCs w:val="20"/>
        </w:rPr>
        <w:t>Lärosätenas heroiska insatser under Covid19-pandemin Dnr: MIUN 2020/1457</w:t>
      </w:r>
      <w:r>
        <w:rPr>
          <w:rFonts w:ascii="Georgia" w:hAnsi="Georgia"/>
          <w:szCs w:val="20"/>
        </w:rPr>
        <w:t>”</w:t>
      </w:r>
    </w:p>
    <w:p w14:paraId="3BE02B1F" w14:textId="77777777" w:rsidR="00636AB3" w:rsidRDefault="00636AB3" w:rsidP="00636AB3">
      <w:pPr>
        <w:rPr>
          <w:rFonts w:ascii="Georgia" w:hAnsi="Georgia"/>
          <w:szCs w:val="20"/>
        </w:rPr>
      </w:pPr>
    </w:p>
    <w:p w14:paraId="1F62F000" w14:textId="188B791E" w:rsidR="00636AB3" w:rsidRDefault="00636AB3" w:rsidP="00636AB3">
      <w:pPr>
        <w:rPr>
          <w:rFonts w:ascii="Georgia" w:hAnsi="Georgia"/>
          <w:szCs w:val="20"/>
        </w:rPr>
      </w:pPr>
      <w:r>
        <w:rPr>
          <w:rFonts w:ascii="Georgia" w:hAnsi="Georgia"/>
          <w:szCs w:val="20"/>
        </w:rPr>
        <w:t xml:space="preserve">Vidare finns ytterligare tre projekt beskrivna på nedanstående länkar: </w:t>
      </w:r>
    </w:p>
    <w:p w14:paraId="319DFD41" w14:textId="2525B629" w:rsidR="00636AB3" w:rsidRDefault="0056572C" w:rsidP="00636AB3">
      <w:pPr>
        <w:rPr>
          <w:rFonts w:ascii="Georgia" w:hAnsi="Georgia"/>
          <w:szCs w:val="20"/>
        </w:rPr>
      </w:pPr>
      <w:hyperlink r:id="rId18" w:history="1">
        <w:r w:rsidR="00636AB3">
          <w:rPr>
            <w:rStyle w:val="Hyperlnk"/>
            <w:rFonts w:ascii="Georgia" w:hAnsi="Georgia"/>
            <w:szCs w:val="20"/>
          </w:rPr>
          <w:t>https://www.miun.se/Forskning/forskningsprojekt/pagaende-forskningsprojekt/nya-cellulosabaserade-triboelektriska-andningsskydd-med-forbattrad-andningsformaga-och-desinfektionseffekter/</w:t>
        </w:r>
      </w:hyperlink>
    </w:p>
    <w:p w14:paraId="15096482" w14:textId="77777777" w:rsidR="00636AB3" w:rsidRDefault="00636AB3" w:rsidP="00636AB3">
      <w:pPr>
        <w:rPr>
          <w:rFonts w:ascii="Georgia" w:hAnsi="Georgia"/>
          <w:szCs w:val="20"/>
        </w:rPr>
      </w:pPr>
    </w:p>
    <w:p w14:paraId="2461840E" w14:textId="32CA1192" w:rsidR="00636AB3" w:rsidRDefault="0056572C" w:rsidP="00636AB3">
      <w:pPr>
        <w:rPr>
          <w:rFonts w:ascii="Georgia" w:hAnsi="Georgia"/>
          <w:szCs w:val="20"/>
        </w:rPr>
      </w:pPr>
      <w:hyperlink r:id="rId19" w:history="1">
        <w:r w:rsidR="00636AB3">
          <w:rPr>
            <w:rStyle w:val="Hyperlnk"/>
            <w:rFonts w:ascii="Georgia" w:hAnsi="Georgia"/>
            <w:szCs w:val="20"/>
          </w:rPr>
          <w:t>https://www.miun.se/Forskning/forskningsprojekt/pagaende-forskningsprojekt/samverkan-och-samordning-av-kriskommunikation-vid-coronakrisen-2020-sack20/</w:t>
        </w:r>
      </w:hyperlink>
      <w:r w:rsidR="00636AB3">
        <w:rPr>
          <w:rFonts w:ascii="Georgia" w:hAnsi="Georgia"/>
          <w:szCs w:val="20"/>
        </w:rPr>
        <w:t xml:space="preserve"> </w:t>
      </w:r>
    </w:p>
    <w:p w14:paraId="4C13C2BC" w14:textId="77777777" w:rsidR="00636AB3" w:rsidRDefault="00636AB3" w:rsidP="00636AB3">
      <w:pPr>
        <w:rPr>
          <w:rFonts w:ascii="Georgia" w:hAnsi="Georgia"/>
          <w:szCs w:val="20"/>
        </w:rPr>
      </w:pPr>
    </w:p>
    <w:p w14:paraId="3A5F2ABF" w14:textId="0D10DD3E" w:rsidR="00916330" w:rsidRPr="00636AB3" w:rsidRDefault="0056572C" w:rsidP="00636AB3">
      <w:pPr>
        <w:rPr>
          <w:rFonts w:ascii="Georgia" w:hAnsi="Georgia"/>
          <w:szCs w:val="20"/>
        </w:rPr>
      </w:pPr>
      <w:hyperlink r:id="rId20" w:history="1">
        <w:r w:rsidR="00636AB3">
          <w:rPr>
            <w:rStyle w:val="Hyperlnk"/>
            <w:rFonts w:ascii="Georgia" w:hAnsi="Georgia"/>
            <w:szCs w:val="20"/>
          </w:rPr>
          <w:t>https://www.miun.se/Forskning/forskningsprojekt/pagaende-forskningsprojekt/iot-professionals-/</w:t>
        </w:r>
      </w:hyperlink>
    </w:p>
    <w:sectPr w:rsidR="00916330" w:rsidRPr="00636AB3" w:rsidSect="00E60434">
      <w:footerReference w:type="default" r:id="rId21"/>
      <w:type w:val="continuous"/>
      <w:pgSz w:w="11906" w:h="16838"/>
      <w:pgMar w:top="1985" w:right="1871" w:bottom="1701" w:left="187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B45E4" w14:textId="77777777" w:rsidR="00FB7C6B" w:rsidRDefault="00FB7C6B" w:rsidP="00093707">
      <w:r>
        <w:separator/>
      </w:r>
    </w:p>
  </w:endnote>
  <w:endnote w:type="continuationSeparator" w:id="0">
    <w:p w14:paraId="52037445" w14:textId="77777777" w:rsidR="00FB7C6B" w:rsidRDefault="00FB7C6B" w:rsidP="0009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98C9" w14:textId="77777777" w:rsidR="0045743F" w:rsidRDefault="004574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0" w:type="dxa"/>
      <w:tblInd w:w="-743" w:type="dxa"/>
      <w:tblLook w:val="04A0" w:firstRow="1" w:lastRow="0" w:firstColumn="1" w:lastColumn="0" w:noHBand="0" w:noVBand="1"/>
    </w:tblPr>
    <w:tblGrid>
      <w:gridCol w:w="9640"/>
    </w:tblGrid>
    <w:tr w:rsidR="00D612B6" w14:paraId="625919D9" w14:textId="77777777" w:rsidTr="002B0A12">
      <w:tc>
        <w:tcPr>
          <w:tcW w:w="9640" w:type="dxa"/>
          <w:tcBorders>
            <w:top w:val="nil"/>
            <w:left w:val="nil"/>
            <w:bottom w:val="nil"/>
            <w:right w:val="nil"/>
          </w:tcBorders>
        </w:tcPr>
        <w:p w14:paraId="3CC4BB7A" w14:textId="77777777" w:rsidR="00D612B6" w:rsidRPr="0075571B" w:rsidRDefault="00D612B6" w:rsidP="0075571B">
          <w:pPr>
            <w:spacing w:line="220" w:lineRule="exact"/>
            <w:rPr>
              <w:rFonts w:ascii="Tahoma" w:hAnsi="Tahoma" w:cs="Tahoma"/>
              <w:sz w:val="16"/>
              <w:szCs w:val="16"/>
            </w:rPr>
          </w:pPr>
        </w:p>
      </w:tc>
    </w:tr>
  </w:tbl>
  <w:p w14:paraId="0F419491" w14:textId="77777777" w:rsidR="00D612B6" w:rsidRPr="00E11ADB" w:rsidRDefault="00D612B6" w:rsidP="00E11ADB">
    <w:pPr>
      <w:jc w:val="cen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B8F2E" w14:textId="77777777" w:rsidR="0045743F" w:rsidRDefault="0045743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0" w:type="dxa"/>
      <w:tblInd w:w="-743" w:type="dxa"/>
      <w:tblLook w:val="04A0" w:firstRow="1" w:lastRow="0" w:firstColumn="1" w:lastColumn="0" w:noHBand="0" w:noVBand="1"/>
    </w:tblPr>
    <w:tblGrid>
      <w:gridCol w:w="9640"/>
    </w:tblGrid>
    <w:tr w:rsidR="00D612B6" w14:paraId="537466F9" w14:textId="77777777" w:rsidTr="002B0A12">
      <w:tc>
        <w:tcPr>
          <w:tcW w:w="9640" w:type="dxa"/>
          <w:tcBorders>
            <w:top w:val="nil"/>
            <w:left w:val="nil"/>
            <w:bottom w:val="nil"/>
            <w:right w:val="nil"/>
          </w:tcBorders>
        </w:tcPr>
        <w:p w14:paraId="66B1F0EB" w14:textId="77777777" w:rsidR="00D612B6" w:rsidRPr="005E03DA" w:rsidRDefault="00D612B6" w:rsidP="005E03DA">
          <w:pPr>
            <w:rPr>
              <w:rFonts w:ascii="Tahoma" w:hAnsi="Tahoma"/>
              <w:sz w:val="16"/>
              <w:szCs w:val="16"/>
            </w:rPr>
          </w:pPr>
        </w:p>
      </w:tc>
    </w:tr>
  </w:tbl>
  <w:p w14:paraId="339F451C" w14:textId="77777777" w:rsidR="00D612B6" w:rsidRPr="00E11ADB" w:rsidRDefault="00D612B6" w:rsidP="00E11ADB">
    <w:pPr>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40BA3" w14:textId="77777777" w:rsidR="00FB7C6B" w:rsidRDefault="00FB7C6B" w:rsidP="00093707">
      <w:r>
        <w:separator/>
      </w:r>
    </w:p>
  </w:footnote>
  <w:footnote w:type="continuationSeparator" w:id="0">
    <w:p w14:paraId="04A2327B" w14:textId="77777777" w:rsidR="00FB7C6B" w:rsidRDefault="00FB7C6B" w:rsidP="00093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7234F" w14:textId="77777777" w:rsidR="0045743F" w:rsidRDefault="0045743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8" w:type="dxa"/>
      <w:tblInd w:w="-1026" w:type="dxa"/>
      <w:tblLook w:val="04A0" w:firstRow="1" w:lastRow="0" w:firstColumn="1" w:lastColumn="0" w:noHBand="0" w:noVBand="1"/>
    </w:tblPr>
    <w:tblGrid>
      <w:gridCol w:w="4077"/>
      <w:gridCol w:w="2410"/>
      <w:gridCol w:w="3861"/>
    </w:tblGrid>
    <w:tr w:rsidR="00D612B6" w:rsidRPr="00AA4426" w14:paraId="28B222CB" w14:textId="77777777" w:rsidTr="00BC4FCE">
      <w:trPr>
        <w:trHeight w:val="482"/>
      </w:trPr>
      <w:tc>
        <w:tcPr>
          <w:tcW w:w="4077" w:type="dxa"/>
          <w:vMerge w:val="restart"/>
        </w:tcPr>
        <w:p w14:paraId="19C49039" w14:textId="77777777" w:rsidR="00D612B6" w:rsidRPr="00110C05" w:rsidRDefault="00D612B6" w:rsidP="005814E2">
          <w:pPr>
            <w:tabs>
              <w:tab w:val="left" w:pos="1095"/>
            </w:tabs>
            <w:rPr>
              <w:rFonts w:ascii="Tahoma" w:hAnsi="Tahoma"/>
            </w:rPr>
          </w:pPr>
        </w:p>
      </w:tc>
      <w:tc>
        <w:tcPr>
          <w:tcW w:w="2410" w:type="dxa"/>
        </w:tcPr>
        <w:p w14:paraId="24DD8A10" w14:textId="77777777" w:rsidR="00D612B6" w:rsidRPr="00334C4E" w:rsidRDefault="00D612B6">
          <w:pPr>
            <w:rPr>
              <w:rFonts w:ascii="Tahoma" w:hAnsi="Tahoma"/>
              <w:b/>
            </w:rPr>
          </w:pPr>
        </w:p>
      </w:tc>
      <w:tc>
        <w:tcPr>
          <w:tcW w:w="3861" w:type="dxa"/>
        </w:tcPr>
        <w:sdt>
          <w:sdtPr>
            <w:rPr>
              <w:rFonts w:cs="Arial"/>
              <w:sz w:val="13"/>
              <w:szCs w:val="13"/>
            </w:rPr>
            <w:id w:val="23994751"/>
            <w:docPartObj>
              <w:docPartGallery w:val="Page Numbers (Top of Page)"/>
              <w:docPartUnique/>
            </w:docPartObj>
          </w:sdtPr>
          <w:sdtEndPr/>
          <w:sdtContent>
            <w:p w14:paraId="620659DB" w14:textId="77777777" w:rsidR="00D612B6" w:rsidRPr="00C1085C" w:rsidRDefault="00F805C1" w:rsidP="00F63C3C">
              <w:pPr>
                <w:jc w:val="right"/>
                <w:rPr>
                  <w:rFonts w:cs="Arial"/>
                  <w:sz w:val="13"/>
                  <w:szCs w:val="13"/>
                </w:rPr>
              </w:pPr>
              <w:r w:rsidRPr="005814E2">
                <w:rPr>
                  <w:rFonts w:cs="Arial"/>
                  <w:sz w:val="13"/>
                  <w:szCs w:val="13"/>
                </w:rPr>
                <w:fldChar w:fldCharType="begin"/>
              </w:r>
              <w:r w:rsidR="00D612B6" w:rsidRPr="005814E2">
                <w:rPr>
                  <w:rFonts w:cs="Arial"/>
                  <w:sz w:val="13"/>
                  <w:szCs w:val="13"/>
                </w:rPr>
                <w:instrText xml:space="preserve"> PAGE </w:instrText>
              </w:r>
              <w:r w:rsidRPr="005814E2">
                <w:rPr>
                  <w:rFonts w:cs="Arial"/>
                  <w:sz w:val="13"/>
                  <w:szCs w:val="13"/>
                </w:rPr>
                <w:fldChar w:fldCharType="separate"/>
              </w:r>
              <w:r w:rsidR="00916330">
                <w:rPr>
                  <w:rFonts w:cs="Arial"/>
                  <w:noProof/>
                  <w:sz w:val="13"/>
                  <w:szCs w:val="13"/>
                </w:rPr>
                <w:t>1</w:t>
              </w:r>
              <w:r w:rsidRPr="005814E2">
                <w:rPr>
                  <w:rFonts w:cs="Arial"/>
                  <w:sz w:val="13"/>
                  <w:szCs w:val="13"/>
                </w:rPr>
                <w:fldChar w:fldCharType="end"/>
              </w:r>
              <w:r w:rsidR="00D612B6" w:rsidRPr="005814E2">
                <w:rPr>
                  <w:rFonts w:cs="Arial"/>
                  <w:sz w:val="13"/>
                  <w:szCs w:val="13"/>
                </w:rPr>
                <w:t>(</w:t>
              </w:r>
              <w:r w:rsidRPr="005814E2">
                <w:rPr>
                  <w:rFonts w:cs="Arial"/>
                  <w:sz w:val="13"/>
                  <w:szCs w:val="13"/>
                </w:rPr>
                <w:fldChar w:fldCharType="begin"/>
              </w:r>
              <w:r w:rsidR="00D612B6" w:rsidRPr="005814E2">
                <w:rPr>
                  <w:rFonts w:cs="Arial"/>
                  <w:sz w:val="13"/>
                  <w:szCs w:val="13"/>
                </w:rPr>
                <w:instrText xml:space="preserve"> NUMPAGES  </w:instrText>
              </w:r>
              <w:r w:rsidRPr="005814E2">
                <w:rPr>
                  <w:rFonts w:cs="Arial"/>
                  <w:sz w:val="13"/>
                  <w:szCs w:val="13"/>
                </w:rPr>
                <w:fldChar w:fldCharType="separate"/>
              </w:r>
              <w:r w:rsidR="00916330">
                <w:rPr>
                  <w:rFonts w:cs="Arial"/>
                  <w:noProof/>
                  <w:sz w:val="13"/>
                  <w:szCs w:val="13"/>
                </w:rPr>
                <w:t>1</w:t>
              </w:r>
              <w:r w:rsidRPr="005814E2">
                <w:rPr>
                  <w:rFonts w:cs="Arial"/>
                  <w:sz w:val="13"/>
                  <w:szCs w:val="13"/>
                </w:rPr>
                <w:fldChar w:fldCharType="end"/>
              </w:r>
              <w:r w:rsidR="00D612B6" w:rsidRPr="005814E2">
                <w:rPr>
                  <w:rFonts w:cs="Arial"/>
                  <w:sz w:val="13"/>
                  <w:szCs w:val="13"/>
                </w:rPr>
                <w:t>)</w:t>
              </w:r>
            </w:p>
          </w:sdtContent>
        </w:sdt>
      </w:tc>
    </w:tr>
    <w:tr w:rsidR="00D612B6" w:rsidRPr="00AA4426" w14:paraId="29F1D258" w14:textId="77777777" w:rsidTr="00BC4FCE">
      <w:trPr>
        <w:trHeight w:val="587"/>
      </w:trPr>
      <w:tc>
        <w:tcPr>
          <w:tcW w:w="4077" w:type="dxa"/>
          <w:vMerge/>
        </w:tcPr>
        <w:p w14:paraId="54ED7F5D" w14:textId="77777777" w:rsidR="00D612B6" w:rsidRPr="00AA4426" w:rsidRDefault="00D612B6">
          <w:pPr>
            <w:rPr>
              <w:rFonts w:ascii="Tahoma" w:hAnsi="Tahoma"/>
            </w:rPr>
          </w:pPr>
        </w:p>
      </w:tc>
      <w:tc>
        <w:tcPr>
          <w:tcW w:w="2410" w:type="dxa"/>
        </w:tcPr>
        <w:p w14:paraId="363C06C6" w14:textId="77777777" w:rsidR="00D612B6" w:rsidRPr="00AA4426" w:rsidRDefault="00D612B6">
          <w:pPr>
            <w:rPr>
              <w:rFonts w:ascii="Tahoma" w:hAnsi="Tahoma"/>
              <w:vanish/>
              <w:color w:val="FF0000"/>
            </w:rPr>
          </w:pPr>
        </w:p>
      </w:tc>
      <w:tc>
        <w:tcPr>
          <w:tcW w:w="3861" w:type="dxa"/>
        </w:tcPr>
        <w:p w14:paraId="37DCBAAA" w14:textId="77777777" w:rsidR="00D612B6" w:rsidRPr="00AA4426" w:rsidRDefault="00D612B6" w:rsidP="00BC4FCE">
          <w:pPr>
            <w:jc w:val="right"/>
            <w:rPr>
              <w:rFonts w:ascii="Tahoma" w:hAnsi="Tahoma"/>
            </w:rPr>
          </w:pPr>
        </w:p>
      </w:tc>
    </w:tr>
  </w:tbl>
  <w:p w14:paraId="3D1F317E" w14:textId="77777777" w:rsidR="00D612B6" w:rsidRPr="00FA1361" w:rsidRDefault="003560B6" w:rsidP="0031755D">
    <w:pPr>
      <w:rPr>
        <w:rFonts w:ascii="Tahoma" w:hAnsi="Tahoma" w:cs="Tahoma"/>
        <w:sz w:val="18"/>
        <w:szCs w:val="18"/>
      </w:rPr>
    </w:pPr>
    <w:bookmarkStart w:id="6" w:name="instanceName"/>
    <w:bookmarkEnd w:id="6"/>
    <w:r>
      <w:rPr>
        <w:noProof/>
        <w:lang w:eastAsia="sv-SE"/>
      </w:rPr>
      <w:drawing>
        <wp:anchor distT="0" distB="0" distL="114300" distR="114300" simplePos="0" relativeHeight="251659264" behindDoc="0" locked="0" layoutInCell="1" allowOverlap="1" wp14:anchorId="66E247C2" wp14:editId="11E7C337">
          <wp:simplePos x="0" y="0"/>
          <wp:positionH relativeFrom="page">
            <wp:posOffset>480695</wp:posOffset>
          </wp:positionH>
          <wp:positionV relativeFrom="page">
            <wp:posOffset>308610</wp:posOffset>
          </wp:positionV>
          <wp:extent cx="1752600" cy="673100"/>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li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A2708" w14:textId="77777777" w:rsidR="0045743F" w:rsidRDefault="004574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1"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66"/>
    <w:rsid w:val="000055DE"/>
    <w:rsid w:val="00020983"/>
    <w:rsid w:val="000221E0"/>
    <w:rsid w:val="00040550"/>
    <w:rsid w:val="00045F8A"/>
    <w:rsid w:val="00047706"/>
    <w:rsid w:val="00051DD7"/>
    <w:rsid w:val="00063EF2"/>
    <w:rsid w:val="0008113F"/>
    <w:rsid w:val="0008611C"/>
    <w:rsid w:val="00093707"/>
    <w:rsid w:val="00094F3D"/>
    <w:rsid w:val="000962DD"/>
    <w:rsid w:val="000A235E"/>
    <w:rsid w:val="000B19F4"/>
    <w:rsid w:val="000F1AFC"/>
    <w:rsid w:val="000F5172"/>
    <w:rsid w:val="0010560C"/>
    <w:rsid w:val="00110C05"/>
    <w:rsid w:val="00127D3A"/>
    <w:rsid w:val="0015249B"/>
    <w:rsid w:val="00165828"/>
    <w:rsid w:val="00180D3C"/>
    <w:rsid w:val="0018439F"/>
    <w:rsid w:val="0019247E"/>
    <w:rsid w:val="001A05E0"/>
    <w:rsid w:val="001A562A"/>
    <w:rsid w:val="001A6C26"/>
    <w:rsid w:val="001B1FEA"/>
    <w:rsid w:val="001B280F"/>
    <w:rsid w:val="001C4AEC"/>
    <w:rsid w:val="001C517F"/>
    <w:rsid w:val="001C5E85"/>
    <w:rsid w:val="001C5E88"/>
    <w:rsid w:val="001F0D4D"/>
    <w:rsid w:val="001F10C8"/>
    <w:rsid w:val="00200C05"/>
    <w:rsid w:val="002144B9"/>
    <w:rsid w:val="00222AC4"/>
    <w:rsid w:val="00227168"/>
    <w:rsid w:val="00234417"/>
    <w:rsid w:val="00254DC3"/>
    <w:rsid w:val="00260FD8"/>
    <w:rsid w:val="0027199A"/>
    <w:rsid w:val="00285039"/>
    <w:rsid w:val="0028679D"/>
    <w:rsid w:val="002876EC"/>
    <w:rsid w:val="002A5C52"/>
    <w:rsid w:val="002B0A12"/>
    <w:rsid w:val="002C2A49"/>
    <w:rsid w:val="0030200C"/>
    <w:rsid w:val="0031755D"/>
    <w:rsid w:val="00334C4E"/>
    <w:rsid w:val="00353F6F"/>
    <w:rsid w:val="00354B41"/>
    <w:rsid w:val="003554E2"/>
    <w:rsid w:val="003560B6"/>
    <w:rsid w:val="00363F99"/>
    <w:rsid w:val="003774C0"/>
    <w:rsid w:val="00396081"/>
    <w:rsid w:val="00396B64"/>
    <w:rsid w:val="003A47B7"/>
    <w:rsid w:val="003B386D"/>
    <w:rsid w:val="003B4F58"/>
    <w:rsid w:val="003D3A64"/>
    <w:rsid w:val="003E1EE1"/>
    <w:rsid w:val="003E385F"/>
    <w:rsid w:val="003F3D9D"/>
    <w:rsid w:val="00416730"/>
    <w:rsid w:val="0043723A"/>
    <w:rsid w:val="00440C16"/>
    <w:rsid w:val="0045743F"/>
    <w:rsid w:val="00460DAC"/>
    <w:rsid w:val="00461D2B"/>
    <w:rsid w:val="00474C80"/>
    <w:rsid w:val="004858FE"/>
    <w:rsid w:val="004A2D54"/>
    <w:rsid w:val="004B4BE1"/>
    <w:rsid w:val="004C18A6"/>
    <w:rsid w:val="004D031F"/>
    <w:rsid w:val="004D7EE2"/>
    <w:rsid w:val="004E1A58"/>
    <w:rsid w:val="004E275D"/>
    <w:rsid w:val="00506065"/>
    <w:rsid w:val="00512493"/>
    <w:rsid w:val="00521765"/>
    <w:rsid w:val="005344CD"/>
    <w:rsid w:val="00540DDC"/>
    <w:rsid w:val="00553618"/>
    <w:rsid w:val="00554302"/>
    <w:rsid w:val="00566FD8"/>
    <w:rsid w:val="005814E2"/>
    <w:rsid w:val="00596A67"/>
    <w:rsid w:val="005C5F1E"/>
    <w:rsid w:val="005E03DA"/>
    <w:rsid w:val="005F53AA"/>
    <w:rsid w:val="006325BA"/>
    <w:rsid w:val="006339E7"/>
    <w:rsid w:val="00636AB3"/>
    <w:rsid w:val="006519E2"/>
    <w:rsid w:val="00675717"/>
    <w:rsid w:val="00677211"/>
    <w:rsid w:val="00693830"/>
    <w:rsid w:val="006A14F4"/>
    <w:rsid w:val="006A5EC2"/>
    <w:rsid w:val="006B6B2F"/>
    <w:rsid w:val="006D2A3A"/>
    <w:rsid w:val="006E19E7"/>
    <w:rsid w:val="006F31DA"/>
    <w:rsid w:val="00710BF7"/>
    <w:rsid w:val="00732FF6"/>
    <w:rsid w:val="007333CC"/>
    <w:rsid w:val="0075571B"/>
    <w:rsid w:val="007676B1"/>
    <w:rsid w:val="00776ADB"/>
    <w:rsid w:val="0079571F"/>
    <w:rsid w:val="007C3917"/>
    <w:rsid w:val="007E61EA"/>
    <w:rsid w:val="00804931"/>
    <w:rsid w:val="00842EC4"/>
    <w:rsid w:val="00871F2D"/>
    <w:rsid w:val="00881B92"/>
    <w:rsid w:val="00881C21"/>
    <w:rsid w:val="00885F92"/>
    <w:rsid w:val="008A43A3"/>
    <w:rsid w:val="008A7149"/>
    <w:rsid w:val="008B247A"/>
    <w:rsid w:val="008C40CF"/>
    <w:rsid w:val="008D1CAC"/>
    <w:rsid w:val="008E5110"/>
    <w:rsid w:val="008F2A46"/>
    <w:rsid w:val="008F4265"/>
    <w:rsid w:val="008F7126"/>
    <w:rsid w:val="00902233"/>
    <w:rsid w:val="00907D32"/>
    <w:rsid w:val="009148EB"/>
    <w:rsid w:val="00916330"/>
    <w:rsid w:val="00936A66"/>
    <w:rsid w:val="00944182"/>
    <w:rsid w:val="00945F9C"/>
    <w:rsid w:val="00950ACD"/>
    <w:rsid w:val="00983EE1"/>
    <w:rsid w:val="0099709A"/>
    <w:rsid w:val="009A622E"/>
    <w:rsid w:val="009B3CF0"/>
    <w:rsid w:val="009B3F11"/>
    <w:rsid w:val="009D6603"/>
    <w:rsid w:val="009E097A"/>
    <w:rsid w:val="009F15B2"/>
    <w:rsid w:val="00A100BA"/>
    <w:rsid w:val="00A21C36"/>
    <w:rsid w:val="00A33C15"/>
    <w:rsid w:val="00A41812"/>
    <w:rsid w:val="00A50391"/>
    <w:rsid w:val="00A53D26"/>
    <w:rsid w:val="00A60C00"/>
    <w:rsid w:val="00A74D0B"/>
    <w:rsid w:val="00A8355E"/>
    <w:rsid w:val="00A934E9"/>
    <w:rsid w:val="00AA4426"/>
    <w:rsid w:val="00AA718A"/>
    <w:rsid w:val="00AA7B4B"/>
    <w:rsid w:val="00AB7724"/>
    <w:rsid w:val="00AC2ABE"/>
    <w:rsid w:val="00B13D6F"/>
    <w:rsid w:val="00B1695E"/>
    <w:rsid w:val="00B17A0D"/>
    <w:rsid w:val="00B43E63"/>
    <w:rsid w:val="00B504EA"/>
    <w:rsid w:val="00B60AD7"/>
    <w:rsid w:val="00B73C52"/>
    <w:rsid w:val="00B77555"/>
    <w:rsid w:val="00B87744"/>
    <w:rsid w:val="00B879E2"/>
    <w:rsid w:val="00B9010C"/>
    <w:rsid w:val="00B9048A"/>
    <w:rsid w:val="00B9086B"/>
    <w:rsid w:val="00B91F66"/>
    <w:rsid w:val="00BB105F"/>
    <w:rsid w:val="00BB10F8"/>
    <w:rsid w:val="00BB11DD"/>
    <w:rsid w:val="00BB1951"/>
    <w:rsid w:val="00BB3A59"/>
    <w:rsid w:val="00BB4CF3"/>
    <w:rsid w:val="00BC3D17"/>
    <w:rsid w:val="00BC42BF"/>
    <w:rsid w:val="00BC4FCE"/>
    <w:rsid w:val="00BC5909"/>
    <w:rsid w:val="00BC59F8"/>
    <w:rsid w:val="00BD2AE6"/>
    <w:rsid w:val="00BE4CAA"/>
    <w:rsid w:val="00BE5D90"/>
    <w:rsid w:val="00C077D9"/>
    <w:rsid w:val="00C1085C"/>
    <w:rsid w:val="00C113E5"/>
    <w:rsid w:val="00C22C84"/>
    <w:rsid w:val="00C2693B"/>
    <w:rsid w:val="00C35423"/>
    <w:rsid w:val="00C36738"/>
    <w:rsid w:val="00C420EA"/>
    <w:rsid w:val="00C6276E"/>
    <w:rsid w:val="00C6624E"/>
    <w:rsid w:val="00C849CA"/>
    <w:rsid w:val="00C9174D"/>
    <w:rsid w:val="00C92B32"/>
    <w:rsid w:val="00C93523"/>
    <w:rsid w:val="00CB083C"/>
    <w:rsid w:val="00CB0AD4"/>
    <w:rsid w:val="00CB3AD9"/>
    <w:rsid w:val="00CC10DF"/>
    <w:rsid w:val="00CC118D"/>
    <w:rsid w:val="00CF3BC6"/>
    <w:rsid w:val="00D00121"/>
    <w:rsid w:val="00D15937"/>
    <w:rsid w:val="00D23756"/>
    <w:rsid w:val="00D328C3"/>
    <w:rsid w:val="00D33F15"/>
    <w:rsid w:val="00D612B6"/>
    <w:rsid w:val="00D70F42"/>
    <w:rsid w:val="00D7377C"/>
    <w:rsid w:val="00D742E9"/>
    <w:rsid w:val="00D74FBE"/>
    <w:rsid w:val="00D77ABC"/>
    <w:rsid w:val="00D91825"/>
    <w:rsid w:val="00DA3452"/>
    <w:rsid w:val="00DD7807"/>
    <w:rsid w:val="00E10316"/>
    <w:rsid w:val="00E11ADB"/>
    <w:rsid w:val="00E123B0"/>
    <w:rsid w:val="00E502BE"/>
    <w:rsid w:val="00E60434"/>
    <w:rsid w:val="00E92A5D"/>
    <w:rsid w:val="00E92F27"/>
    <w:rsid w:val="00E97B6D"/>
    <w:rsid w:val="00EA6E3F"/>
    <w:rsid w:val="00ED1AC7"/>
    <w:rsid w:val="00EE43CD"/>
    <w:rsid w:val="00F00A62"/>
    <w:rsid w:val="00F1490C"/>
    <w:rsid w:val="00F23939"/>
    <w:rsid w:val="00F30DA4"/>
    <w:rsid w:val="00F36871"/>
    <w:rsid w:val="00F455CD"/>
    <w:rsid w:val="00F47922"/>
    <w:rsid w:val="00F63C3C"/>
    <w:rsid w:val="00F67BE0"/>
    <w:rsid w:val="00F805C1"/>
    <w:rsid w:val="00F86EB6"/>
    <w:rsid w:val="00F94466"/>
    <w:rsid w:val="00FA1361"/>
    <w:rsid w:val="00FB7C6B"/>
    <w:rsid w:val="00FD0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42A95"/>
  <w15:docId w15:val="{0A2FBE98-4A17-4EF6-8F7A-321619B1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RJH"/>
    <w:qFormat/>
    <w:rsid w:val="00BB4CF3"/>
    <w:pPr>
      <w:spacing w:after="0" w:line="240" w:lineRule="auto"/>
    </w:pPr>
    <w:rPr>
      <w:rFonts w:ascii="Arial Narrow" w:hAnsi="Arial Narrow"/>
      <w:sz w:val="20"/>
    </w:rPr>
  </w:style>
  <w:style w:type="paragraph" w:styleId="Rubrik1">
    <w:name w:val="heading 1"/>
    <w:basedOn w:val="Normal"/>
    <w:next w:val="Normal"/>
    <w:link w:val="Rubrik1Char"/>
    <w:uiPriority w:val="9"/>
    <w:qFormat/>
    <w:rsid w:val="00E502BE"/>
    <w:pPr>
      <w:keepNext/>
      <w:keepLines/>
      <w:spacing w:before="480" w:after="120"/>
      <w:outlineLvl w:val="0"/>
    </w:pPr>
    <w:rPr>
      <w:rFonts w:eastAsiaTheme="majorEastAsia" w:cstheme="majorBidi"/>
      <w:b/>
      <w:bCs/>
      <w:sz w:val="44"/>
      <w:szCs w:val="28"/>
    </w:rPr>
  </w:style>
  <w:style w:type="paragraph" w:styleId="Rubrik2">
    <w:name w:val="heading 2"/>
    <w:basedOn w:val="Normal"/>
    <w:next w:val="Normal"/>
    <w:link w:val="Rubrik2Char"/>
    <w:uiPriority w:val="9"/>
    <w:qFormat/>
    <w:rsid w:val="00E502BE"/>
    <w:pPr>
      <w:keepNext/>
      <w:keepLines/>
      <w:spacing w:before="440" w:after="40"/>
      <w:outlineLvl w:val="1"/>
    </w:pPr>
    <w:rPr>
      <w:rFonts w:eastAsiaTheme="majorEastAsia" w:cstheme="majorBidi"/>
      <w:bCs/>
      <w:sz w:val="28"/>
      <w:szCs w:val="26"/>
    </w:rPr>
  </w:style>
  <w:style w:type="paragraph" w:styleId="Rubrik3">
    <w:name w:val="heading 3"/>
    <w:basedOn w:val="Normal"/>
    <w:next w:val="Normal"/>
    <w:link w:val="Rubrik3Char"/>
    <w:uiPriority w:val="9"/>
    <w:qFormat/>
    <w:rsid w:val="00E502BE"/>
    <w:pPr>
      <w:keepNext/>
      <w:keepLines/>
      <w:spacing w:before="360" w:after="40"/>
      <w:outlineLvl w:val="2"/>
    </w:pPr>
    <w:rPr>
      <w:rFonts w:eastAsiaTheme="majorEastAsia" w:cstheme="majorBidi"/>
      <w:bCs/>
      <w:sz w:val="28"/>
    </w:rPr>
  </w:style>
  <w:style w:type="paragraph" w:styleId="Rubrik4">
    <w:name w:val="heading 4"/>
    <w:basedOn w:val="Normal"/>
    <w:next w:val="Normal"/>
    <w:link w:val="Rubrik4Char"/>
    <w:uiPriority w:val="9"/>
    <w:qFormat/>
    <w:rsid w:val="00F00A62"/>
    <w:pPr>
      <w:keepNext/>
      <w:keepLines/>
      <w:spacing w:before="200"/>
      <w:outlineLvl w:val="3"/>
    </w:pPr>
    <w:rPr>
      <w:rFonts w:ascii="Tahoma" w:eastAsiaTheme="majorEastAsia" w:hAnsi="Tahoma" w:cstheme="majorBidi"/>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502BE"/>
    <w:rPr>
      <w:rFonts w:ascii="Arial Narrow" w:eastAsiaTheme="majorEastAsia" w:hAnsi="Arial Narrow" w:cstheme="majorBidi"/>
      <w:b/>
      <w:bCs/>
      <w:sz w:val="44"/>
      <w:szCs w:val="28"/>
    </w:rPr>
  </w:style>
  <w:style w:type="character" w:customStyle="1" w:styleId="Rubrik2Char">
    <w:name w:val="Rubrik 2 Char"/>
    <w:basedOn w:val="Standardstycketeckensnitt"/>
    <w:link w:val="Rubrik2"/>
    <w:uiPriority w:val="9"/>
    <w:rsid w:val="00E502BE"/>
    <w:rPr>
      <w:rFonts w:ascii="Arial Narrow" w:eastAsiaTheme="majorEastAsia" w:hAnsi="Arial Narrow" w:cstheme="majorBidi"/>
      <w:bCs/>
      <w:sz w:val="28"/>
      <w:szCs w:val="26"/>
    </w:rPr>
  </w:style>
  <w:style w:type="character" w:customStyle="1" w:styleId="Rubrik3Char">
    <w:name w:val="Rubrik 3 Char"/>
    <w:basedOn w:val="Standardstycketeckensnitt"/>
    <w:link w:val="Rubrik3"/>
    <w:uiPriority w:val="9"/>
    <w:rsid w:val="00E502BE"/>
    <w:rPr>
      <w:rFonts w:ascii="Arial Narrow" w:eastAsiaTheme="majorEastAsia" w:hAnsi="Arial Narrow" w:cstheme="majorBidi"/>
      <w:bCs/>
      <w:sz w:val="28"/>
    </w:rPr>
  </w:style>
  <w:style w:type="character" w:customStyle="1" w:styleId="Rubrik4Char">
    <w:name w:val="Rubrik 4 Char"/>
    <w:basedOn w:val="Standardstycketeckensnitt"/>
    <w:link w:val="Rubrik4"/>
    <w:uiPriority w:val="9"/>
    <w:rsid w:val="00F00A62"/>
    <w:rPr>
      <w:rFonts w:ascii="Tahoma" w:eastAsiaTheme="majorEastAsia" w:hAnsi="Tahoma" w:cstheme="majorBidi"/>
      <w:b/>
      <w:bCs/>
      <w:iCs/>
      <w:sz w:val="20"/>
    </w:rPr>
  </w:style>
  <w:style w:type="character" w:styleId="Hyperlnk">
    <w:name w:val="Hyperlink"/>
    <w:basedOn w:val="Standardstycketeckensnitt"/>
    <w:uiPriority w:val="99"/>
    <w:unhideWhenUsed/>
    <w:rsid w:val="00BB4CF3"/>
    <w:rPr>
      <w:color w:val="000000" w:themeColor="hyperlink"/>
      <w:u w:val="single"/>
    </w:rPr>
  </w:style>
  <w:style w:type="paragraph" w:customStyle="1" w:styleId="Ingress-RJH">
    <w:name w:val="Ingress-RJH"/>
    <w:qFormat/>
    <w:rsid w:val="00BB4CF3"/>
    <w:pPr>
      <w:spacing w:after="700" w:line="312" w:lineRule="auto"/>
    </w:pPr>
    <w:rPr>
      <w:rFonts w:ascii="Arial Narrow" w:hAnsi="Arial Narrow"/>
      <w:noProof/>
      <w:sz w:val="24"/>
      <w:lang w:eastAsia="sv-SE"/>
    </w:rPr>
  </w:style>
  <w:style w:type="paragraph" w:styleId="Innehll1">
    <w:name w:val="toc 1"/>
    <w:basedOn w:val="Normal"/>
    <w:next w:val="Normal"/>
    <w:autoRedefine/>
    <w:uiPriority w:val="39"/>
    <w:unhideWhenUsed/>
    <w:rsid w:val="00BB4CF3"/>
    <w:pPr>
      <w:tabs>
        <w:tab w:val="right" w:leader="dot" w:pos="8154"/>
      </w:tabs>
      <w:spacing w:before="160"/>
    </w:pPr>
    <w:rPr>
      <w:caps/>
      <w:sz w:val="24"/>
    </w:rPr>
  </w:style>
  <w:style w:type="paragraph" w:styleId="Innehll2">
    <w:name w:val="toc 2"/>
    <w:basedOn w:val="Normal"/>
    <w:next w:val="Normal"/>
    <w:autoRedefine/>
    <w:uiPriority w:val="39"/>
    <w:unhideWhenUsed/>
    <w:rsid w:val="00BB4CF3"/>
  </w:style>
  <w:style w:type="paragraph" w:styleId="Ballongtext">
    <w:name w:val="Balloon Text"/>
    <w:basedOn w:val="Normal"/>
    <w:link w:val="BallongtextChar"/>
    <w:uiPriority w:val="99"/>
    <w:semiHidden/>
    <w:unhideWhenUsed/>
    <w:rsid w:val="00BB4CF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B4CF3"/>
    <w:rPr>
      <w:rFonts w:ascii="Segoe UI" w:hAnsi="Segoe UI" w:cs="Segoe UI"/>
      <w:sz w:val="18"/>
      <w:szCs w:val="18"/>
    </w:rPr>
  </w:style>
  <w:style w:type="paragraph" w:styleId="Innehll3">
    <w:name w:val="toc 3"/>
    <w:basedOn w:val="Normal"/>
    <w:next w:val="Normal"/>
    <w:autoRedefine/>
    <w:uiPriority w:val="39"/>
    <w:unhideWhenUsed/>
    <w:rsid w:val="00BB4CF3"/>
    <w:pPr>
      <w:spacing w:after="200"/>
      <w:ind w:left="170"/>
    </w:pPr>
  </w:style>
  <w:style w:type="paragraph" w:styleId="Innehllsfrteckningsrubrik">
    <w:name w:val="TOC Heading"/>
    <w:basedOn w:val="Rubrik1"/>
    <w:next w:val="Normal"/>
    <w:uiPriority w:val="39"/>
    <w:unhideWhenUsed/>
    <w:qFormat/>
    <w:rsid w:val="00BB4CF3"/>
    <w:pPr>
      <w:spacing w:after="160"/>
      <w:outlineLvl w:val="9"/>
    </w:pPr>
    <w:rPr>
      <w:rFonts w:asciiTheme="majorHAnsi" w:hAnsiTheme="majorHAnsi"/>
      <w:b w:val="0"/>
      <w:bCs w:val="0"/>
      <w:szCs w:val="32"/>
      <w:lang w:eastAsia="sv-SE"/>
    </w:rPr>
  </w:style>
  <w:style w:type="paragraph" w:styleId="Numreradlista">
    <w:name w:val="List Number"/>
    <w:aliases w:val="Numrerad lista - RJH"/>
    <w:basedOn w:val="Normal"/>
    <w:uiPriority w:val="99"/>
    <w:unhideWhenUsed/>
    <w:rsid w:val="00BB4CF3"/>
    <w:pPr>
      <w:numPr>
        <w:numId w:val="2"/>
      </w:numPr>
      <w:spacing w:before="280" w:after="280" w:line="288" w:lineRule="auto"/>
      <w:contextualSpacing/>
    </w:pPr>
    <w:rPr>
      <w:rFonts w:ascii="Georgia" w:hAnsi="Georgia"/>
    </w:rPr>
  </w:style>
  <w:style w:type="paragraph" w:styleId="Punktlista">
    <w:name w:val="List Bullet"/>
    <w:aliases w:val="Punktlista - RJH"/>
    <w:basedOn w:val="Normal"/>
    <w:uiPriority w:val="99"/>
    <w:unhideWhenUsed/>
    <w:rsid w:val="00BB4CF3"/>
    <w:pPr>
      <w:numPr>
        <w:numId w:val="4"/>
      </w:numPr>
      <w:spacing w:before="280" w:after="280" w:line="288" w:lineRule="auto"/>
      <w:contextualSpacing/>
    </w:pPr>
    <w:rPr>
      <w:rFonts w:ascii="Georgia" w:hAnsi="Georgia"/>
    </w:rPr>
  </w:style>
  <w:style w:type="paragraph" w:customStyle="1" w:styleId="Brdtext-RJH">
    <w:name w:val="Brödtext - RJH"/>
    <w:qFormat/>
    <w:rsid w:val="00BB4CF3"/>
    <w:pPr>
      <w:spacing w:after="0" w:line="288" w:lineRule="auto"/>
    </w:pPr>
    <w:rPr>
      <w:rFonts w:ascii="Georgia" w:hAnsi="Georgia"/>
      <w:sz w:val="20"/>
      <w:szCs w:val="20"/>
      <w:lang w:val="la-Latn"/>
    </w:rPr>
  </w:style>
  <w:style w:type="paragraph" w:styleId="Sidfot">
    <w:name w:val="footer"/>
    <w:basedOn w:val="Normal"/>
    <w:link w:val="SidfotChar"/>
    <w:uiPriority w:val="99"/>
    <w:unhideWhenUsed/>
    <w:rsid w:val="00BB4CF3"/>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BB4CF3"/>
    <w:rPr>
      <w:rFonts w:ascii="Arial" w:hAnsi="Arial"/>
      <w:sz w:val="20"/>
    </w:rPr>
  </w:style>
  <w:style w:type="paragraph" w:styleId="Sidhuvud">
    <w:name w:val="header"/>
    <w:basedOn w:val="Normal"/>
    <w:link w:val="SidhuvudChar"/>
    <w:uiPriority w:val="99"/>
    <w:unhideWhenUsed/>
    <w:rsid w:val="00BB4CF3"/>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Standardstycketeckensnitt"/>
    <w:link w:val="Sidhuvud"/>
    <w:uiPriority w:val="99"/>
    <w:rsid w:val="00BB4CF3"/>
    <w:rPr>
      <w:rFonts w:ascii="Arial" w:eastAsia="Times New Roman" w:hAnsi="Arial" w:cs="Times New Roman"/>
      <w:caps/>
      <w:sz w:val="12"/>
      <w:szCs w:val="13"/>
    </w:rPr>
  </w:style>
  <w:style w:type="paragraph" w:customStyle="1" w:styleId="Sidhuvudsidnumrering-RJH">
    <w:name w:val="Sidhuvud sidnumrering - RJH"/>
    <w:rsid w:val="00BB4CF3"/>
    <w:pPr>
      <w:tabs>
        <w:tab w:val="center" w:pos="4536"/>
        <w:tab w:val="right" w:pos="9072"/>
      </w:tabs>
      <w:spacing w:after="0" w:line="180" w:lineRule="exact"/>
    </w:pPr>
    <w:rPr>
      <w:rFonts w:ascii="Arial" w:eastAsia="Times New Roman" w:hAnsi="Arial" w:cs="Times New Roman"/>
      <w:caps/>
      <w:sz w:val="12"/>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877516">
      <w:bodyDiv w:val="1"/>
      <w:marLeft w:val="0"/>
      <w:marRight w:val="0"/>
      <w:marTop w:val="0"/>
      <w:marBottom w:val="0"/>
      <w:divBdr>
        <w:top w:val="none" w:sz="0" w:space="0" w:color="auto"/>
        <w:left w:val="none" w:sz="0" w:space="0" w:color="auto"/>
        <w:bottom w:val="none" w:sz="0" w:space="0" w:color="auto"/>
        <w:right w:val="none" w:sz="0" w:space="0" w:color="auto"/>
      </w:divBdr>
    </w:div>
    <w:div w:id="1638104267">
      <w:bodyDiv w:val="1"/>
      <w:marLeft w:val="0"/>
      <w:marRight w:val="0"/>
      <w:marTop w:val="0"/>
      <w:marBottom w:val="0"/>
      <w:divBdr>
        <w:top w:val="none" w:sz="0" w:space="0" w:color="auto"/>
        <w:left w:val="none" w:sz="0" w:space="0" w:color="auto"/>
        <w:bottom w:val="none" w:sz="0" w:space="0" w:color="auto"/>
        <w:right w:val="none" w:sz="0" w:space="0" w:color="auto"/>
      </w:divBdr>
    </w:div>
    <w:div w:id="20610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ur02.safelinks.protection.outlook.com/?url=https%3A%2F%2Fwww.miun.se%2FForskning%2Fforskningsprojekt%2Fpagaende-forskningsprojekt%2Fnya-cellulosabaserade-triboelektriska-andningsskydd-med-forbattrad-andningsformaga-och-desinfektionseffekter%2F&amp;data=04%7C01%7Cerik.noaksson%40regionjh.se%7Ca615136ff19d4c04f1b408d8d35969ae%7Cd3b4cf3aca774a02aefaf4398591468f%7C0%7C0%7C637491728544623516%7CUnknown%7CTWFpbGZsb3d8eyJWIjoiMC4wLjAwMDAiLCJQIjoiV2luMzIiLCJBTiI6Ik1haWwiLCJXVCI6Mn0%3D%7C1000&amp;sdata=OB1cKuzcq4ecwPHDM84H3Wdv1ikllHlhaIcXgLWzJCM%3D&amp;reserved=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ur02.safelinks.protection.outlook.com/?url=https%3A%2F%2Fwww.google.com%2Fsearchq%3Destrad%2Bnorr%2Bdigital%2Bscen%26oq%3Destdrad%2B%26aqs%3Dchrome.2.69i57j0i13l6j46i13.3572j0j7%26sourceid%3Dchrome%26ie%3DUTF-8&amp;data=04%7C01%7Cerik.noaksson%40regionjh.se%7C03d6a82fc8d74917c90f08d8d8082511%7Cd3b4cf3aca774a02aefaf4398591468f%7C0%7C0%7C637496876783984007%7CUnknown%7CTWFpbGZsb3d8eyJWIjoiMC4wLjAwMDAiLCJQIjoiV2luMzIiLCJBTiI6Ik1haWwiLCJXVCI6Mn0%3D%7C1000&amp;sdata=Tvjh2MjzeXje%2B%2FCBfGMboh0NWpjIHhBaz9Dxn4NT3Og%3D&amp;reserved=0" TargetMode="External"/><Relationship Id="rId2" Type="http://schemas.openxmlformats.org/officeDocument/2006/relationships/numbering" Target="numbering.xml"/><Relationship Id="rId16" Type="http://schemas.openxmlformats.org/officeDocument/2006/relationships/hyperlink" Target="https://eur02.safelinks.protection.outlook.com/?url=https%3A%2F%2Fdesigncentrum.se%2Fdesigncentrum%2Fkalendarium%2Fkalendarium%2F2021-01-13-grundkurs-i-tjanstedesign-for-offentlig-sektor.html&amp;data=04%7C01%7Cerik.noaksson%40regionjh.se%7C03d6a82fc8d74917c90f08d8d8082511%7Cd3b4cf3aca774a02aefaf4398591468f%7C0%7C0%7C637496876783974016%7CUnknown%7CTWFpbGZsb3d8eyJWIjoiMC4wLjAwMDAiLCJQIjoiV2luMzIiLCJBTiI6Ik1haWwiLCJXVCI6Mn0%3D%7C1000&amp;sdata=ckgVu215g%2FIC3GV2VoCA4W5pFypzD86tBffyDFTPPAw%3D&amp;reserved=0" TargetMode="External"/><Relationship Id="rId20" Type="http://schemas.openxmlformats.org/officeDocument/2006/relationships/hyperlink" Target="https://eur02.safelinks.protection.outlook.com/?url=https%3A%2F%2Fwww.miun.se%2FForskning%2Fforskningsprojekt%2Fpagaende-forskningsprojekt%2Fiot-professionals-%2F&amp;data=04%7C01%7Cerik.noaksson%40regionjh.se%7Ca615136ff19d4c04f1b408d8d35969ae%7Cd3b4cf3aca774a02aefaf4398591468f%7C0%7C0%7C637491728544633506%7CUnknown%7CTWFpbGZsb3d8eyJWIjoiMC4wLjAwMDAiLCJQIjoiV2luMzIiLCJBTiI6Ik1haWwiLCJXVCI6Mn0%3D%7C1000&amp;sdata=w07yeSMgRhqkjWKmlLIYPW%2FkjnnUuwUViJz%2Fb6pRf4Q%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vn.se/sv/Utveckling/Vara-projekt/handelskraf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ur02.safelinks.protection.outlook.com/?url=https%3A%2F%2Fwww.miun.se%2FForskning%2Fforskningsprojekt%2Fpagaende-forskningsprojekt%2Fsamverkan-och-samordning-av-kriskommunikation-vid-coronakrisen-2020-sack20%2F&amp;data=04%7C01%7Cerik.noaksson%40regionjh.se%7Ca615136ff19d4c04f1b408d8d35969ae%7Cd3b4cf3aca774a02aefaf4398591468f%7C0%7C0%7C637491728544633506%7CUnknown%7CTWFpbGZsb3d8eyJWIjoiMC4wLjAwMDAiLCJQIjoiV2luMzIiLCJBTiI6Ik1haWwiLCJXVCI6Mn0%3D%7C1000&amp;sdata=tSbeZRVSJp1n%2FrbQm9iTeIKaH%2FFmAnd8qOOzq2wnB9k%3D&amp;reserved=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gionjh.se/regionalutveckling/regionaltutvecklingsansvar/naringsliv/foretagsstod.4.15591b8415700f7566b43c6a.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RJH">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7FC94-279A-4084-BBEE-329778C2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1306</Words>
  <Characters>6926</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JLL</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peli5</dc:creator>
  <dc:description>Löptext</dc:description>
  <cp:lastModifiedBy>Erik Noaksson</cp:lastModifiedBy>
  <cp:revision>2</cp:revision>
  <dcterms:created xsi:type="dcterms:W3CDTF">2021-03-04T14:45:00Z</dcterms:created>
  <dcterms:modified xsi:type="dcterms:W3CDTF">2021-03-04T14:45:00Z</dcterms:modified>
</cp:coreProperties>
</file>