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13AD" w14:textId="2251F93D" w:rsidR="00E61872" w:rsidRDefault="00A3566E" w:rsidP="00416A86">
      <w:pPr>
        <w:pStyle w:val="Titel"/>
        <w:rPr>
          <w:rFonts w:eastAsia="Times New Roman"/>
        </w:rPr>
      </w:pPr>
      <w:r>
        <w:t>Välkommen till samråd!</w:t>
      </w:r>
    </w:p>
    <w:p w14:paraId="26F3E014" w14:textId="6283B95F" w:rsidR="00F45001" w:rsidRDefault="00F45001" w:rsidP="00F45001">
      <w:pPr>
        <w:pStyle w:val="Brdtext-RJH"/>
      </w:pPr>
    </w:p>
    <w:p w14:paraId="726B4F05" w14:textId="1AC032ED" w:rsidR="00D509D1" w:rsidRPr="00A3566E" w:rsidRDefault="00D509D1" w:rsidP="00F45001">
      <w:pPr>
        <w:pStyle w:val="Brdtext-RJH"/>
        <w:rPr>
          <w:sz w:val="24"/>
          <w:szCs w:val="24"/>
          <w:lang w:val="sv-SE"/>
        </w:rPr>
      </w:pPr>
      <w:r w:rsidRPr="00A3566E">
        <w:rPr>
          <w:b/>
          <w:bCs/>
          <w:sz w:val="24"/>
          <w:szCs w:val="24"/>
          <w:lang w:val="sv-SE"/>
        </w:rPr>
        <w:t>När:</w:t>
      </w:r>
      <w:r w:rsidRPr="00A3566E">
        <w:rPr>
          <w:sz w:val="24"/>
          <w:szCs w:val="24"/>
          <w:lang w:val="sv-SE"/>
        </w:rPr>
        <w:t xml:space="preserve"> 3 december 2019, kl.13-16</w:t>
      </w:r>
    </w:p>
    <w:p w14:paraId="5A6E6EE9" w14:textId="4E4C6826" w:rsidR="00D509D1" w:rsidRPr="00A3566E" w:rsidRDefault="00D509D1" w:rsidP="00F45001">
      <w:pPr>
        <w:pStyle w:val="Brdtext-RJH"/>
        <w:rPr>
          <w:sz w:val="24"/>
          <w:szCs w:val="24"/>
          <w:lang w:val="sv-SE"/>
        </w:rPr>
      </w:pPr>
      <w:r w:rsidRPr="00A3566E">
        <w:rPr>
          <w:b/>
          <w:bCs/>
          <w:sz w:val="24"/>
          <w:szCs w:val="24"/>
          <w:lang w:val="sv-SE"/>
        </w:rPr>
        <w:t>Var:</w:t>
      </w:r>
      <w:r w:rsidRPr="00A3566E">
        <w:rPr>
          <w:sz w:val="24"/>
          <w:szCs w:val="24"/>
          <w:lang w:val="sv-SE"/>
        </w:rPr>
        <w:t xml:space="preserve"> Gaaltije</w:t>
      </w:r>
      <w:r w:rsidR="00A3566E">
        <w:rPr>
          <w:sz w:val="24"/>
          <w:szCs w:val="24"/>
          <w:lang w:val="sv-SE"/>
        </w:rPr>
        <w:t>. Möjlighet att delta via Skype finns.</w:t>
      </w:r>
    </w:p>
    <w:p w14:paraId="255E0196" w14:textId="226F9C47" w:rsidR="00D509D1" w:rsidRPr="00A3566E" w:rsidRDefault="00D509D1" w:rsidP="00F45001">
      <w:pPr>
        <w:pStyle w:val="Brdtext-RJH"/>
        <w:rPr>
          <w:sz w:val="24"/>
          <w:szCs w:val="24"/>
          <w:lang w:val="sv-SE"/>
        </w:rPr>
      </w:pPr>
    </w:p>
    <w:p w14:paraId="2ECB1FE5" w14:textId="732F7B76" w:rsidR="00D509D1" w:rsidRPr="00A3566E" w:rsidRDefault="00D509D1" w:rsidP="00F45001">
      <w:pPr>
        <w:pStyle w:val="Brdtext-RJH"/>
        <w:rPr>
          <w:sz w:val="24"/>
          <w:szCs w:val="24"/>
          <w:lang w:val="sv-SE"/>
        </w:rPr>
      </w:pPr>
      <w:r w:rsidRPr="00A3566E">
        <w:rPr>
          <w:sz w:val="24"/>
          <w:szCs w:val="24"/>
          <w:lang w:val="sv-SE"/>
        </w:rPr>
        <w:t>Samiska representanter träffas på BBQ Garden kl.11.00 för förberedelse. Övriga är välkomna att ansluta kl.12 för lunch.</w:t>
      </w:r>
    </w:p>
    <w:p w14:paraId="7FA049D6" w14:textId="433D8D34" w:rsidR="00D509D1" w:rsidRPr="00A3566E" w:rsidRDefault="00D509D1" w:rsidP="00F45001">
      <w:pPr>
        <w:pStyle w:val="Brdtext-RJH"/>
        <w:rPr>
          <w:sz w:val="24"/>
          <w:szCs w:val="24"/>
          <w:lang w:val="sv-SE"/>
        </w:rPr>
      </w:pPr>
    </w:p>
    <w:p w14:paraId="2B5EE47A" w14:textId="4227CB59" w:rsidR="00D509D1" w:rsidRPr="00A3566E" w:rsidRDefault="00D509D1" w:rsidP="00F45001">
      <w:pPr>
        <w:pStyle w:val="Brdtext-RJH"/>
        <w:rPr>
          <w:b/>
          <w:bCs/>
          <w:sz w:val="24"/>
          <w:szCs w:val="24"/>
          <w:lang w:val="sv-SE"/>
        </w:rPr>
      </w:pPr>
      <w:r w:rsidRPr="00A3566E">
        <w:rPr>
          <w:b/>
          <w:bCs/>
          <w:sz w:val="24"/>
          <w:szCs w:val="24"/>
          <w:lang w:val="sv-SE"/>
        </w:rPr>
        <w:t>Dagordning</w:t>
      </w:r>
    </w:p>
    <w:p w14:paraId="0BB0E1D6" w14:textId="77777777" w:rsidR="003E360D" w:rsidRPr="00A3566E" w:rsidRDefault="003E360D" w:rsidP="00F45001">
      <w:pPr>
        <w:pStyle w:val="Brdtext-RJH"/>
        <w:rPr>
          <w:b/>
          <w:bCs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4"/>
        <w:gridCol w:w="3459"/>
        <w:gridCol w:w="2313"/>
        <w:gridCol w:w="1638"/>
      </w:tblGrid>
      <w:tr w:rsidR="00D509D1" w:rsidRPr="00D509D1" w14:paraId="6460A5BF" w14:textId="77777777" w:rsidTr="00D509D1">
        <w:tc>
          <w:tcPr>
            <w:tcW w:w="744" w:type="dxa"/>
          </w:tcPr>
          <w:p w14:paraId="753D4046" w14:textId="5BAC85F0" w:rsidR="00D509D1" w:rsidRPr="00D509D1" w:rsidRDefault="003E360D" w:rsidP="003E360D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1.</w:t>
            </w:r>
          </w:p>
        </w:tc>
        <w:tc>
          <w:tcPr>
            <w:tcW w:w="3459" w:type="dxa"/>
          </w:tcPr>
          <w:p w14:paraId="49D7BC22" w14:textId="757CB26C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Välkomna!</w:t>
            </w:r>
          </w:p>
        </w:tc>
        <w:tc>
          <w:tcPr>
            <w:tcW w:w="2313" w:type="dxa"/>
          </w:tcPr>
          <w:p w14:paraId="7459442F" w14:textId="4816C253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Karin T</w:t>
            </w:r>
          </w:p>
        </w:tc>
        <w:tc>
          <w:tcPr>
            <w:tcW w:w="1638" w:type="dxa"/>
          </w:tcPr>
          <w:p w14:paraId="1F99A521" w14:textId="77777777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509D1" w:rsidRPr="00D509D1" w14:paraId="66A5F629" w14:textId="77777777" w:rsidTr="00D509D1">
        <w:tc>
          <w:tcPr>
            <w:tcW w:w="744" w:type="dxa"/>
          </w:tcPr>
          <w:p w14:paraId="6AC38A84" w14:textId="4E073D46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2. </w:t>
            </w:r>
          </w:p>
        </w:tc>
        <w:tc>
          <w:tcPr>
            <w:tcW w:w="3459" w:type="dxa"/>
          </w:tcPr>
          <w:p w14:paraId="6AA5ED00" w14:textId="77F20F38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Val av justerare</w:t>
            </w:r>
          </w:p>
        </w:tc>
        <w:tc>
          <w:tcPr>
            <w:tcW w:w="2313" w:type="dxa"/>
          </w:tcPr>
          <w:p w14:paraId="7A820D49" w14:textId="1BF28050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Karin T</w:t>
            </w:r>
          </w:p>
        </w:tc>
        <w:tc>
          <w:tcPr>
            <w:tcW w:w="1638" w:type="dxa"/>
          </w:tcPr>
          <w:p w14:paraId="6A44A61F" w14:textId="77777777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509D1" w:rsidRPr="00D509D1" w14:paraId="240D26CE" w14:textId="77777777" w:rsidTr="00D509D1">
        <w:tc>
          <w:tcPr>
            <w:tcW w:w="744" w:type="dxa"/>
          </w:tcPr>
          <w:p w14:paraId="07E16940" w14:textId="50CF0334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3. </w:t>
            </w:r>
          </w:p>
        </w:tc>
        <w:tc>
          <w:tcPr>
            <w:tcW w:w="3459" w:type="dxa"/>
          </w:tcPr>
          <w:p w14:paraId="6D8F745E" w14:textId="630133C7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Föregående mötes minnesanteckningar</w:t>
            </w:r>
          </w:p>
        </w:tc>
        <w:tc>
          <w:tcPr>
            <w:tcW w:w="2313" w:type="dxa"/>
          </w:tcPr>
          <w:p w14:paraId="33703C3A" w14:textId="5EA4E092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Karin T</w:t>
            </w:r>
          </w:p>
        </w:tc>
        <w:tc>
          <w:tcPr>
            <w:tcW w:w="1638" w:type="dxa"/>
          </w:tcPr>
          <w:p w14:paraId="73C33D22" w14:textId="77777777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</w:p>
        </w:tc>
      </w:tr>
      <w:tr w:rsidR="00D509D1" w:rsidRPr="00D509D1" w14:paraId="2CF04E9B" w14:textId="77777777" w:rsidTr="00D509D1">
        <w:tc>
          <w:tcPr>
            <w:tcW w:w="744" w:type="dxa"/>
          </w:tcPr>
          <w:p w14:paraId="27968494" w14:textId="0508FA65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4.</w:t>
            </w:r>
          </w:p>
        </w:tc>
        <w:tc>
          <w:tcPr>
            <w:tcW w:w="3459" w:type="dxa"/>
          </w:tcPr>
          <w:p w14:paraId="5468F024" w14:textId="34269698" w:rsidR="003E360D" w:rsidRPr="00D509D1" w:rsidRDefault="003E360D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Möte med </w:t>
            </w:r>
            <w:r w:rsidR="00D509D1" w:rsidRPr="00D509D1">
              <w:rPr>
                <w:sz w:val="24"/>
                <w:szCs w:val="24"/>
                <w:lang w:val="sv-SE"/>
              </w:rPr>
              <w:t>Patientnämndens kansli</w:t>
            </w:r>
            <w:bookmarkStart w:id="0" w:name="_GoBack"/>
            <w:bookmarkEnd w:id="0"/>
          </w:p>
        </w:tc>
        <w:tc>
          <w:tcPr>
            <w:tcW w:w="2313" w:type="dxa"/>
          </w:tcPr>
          <w:p w14:paraId="1BFEF4E4" w14:textId="77777777" w:rsid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Anette Rydström</w:t>
            </w:r>
          </w:p>
          <w:p w14:paraId="58D16EC4" w14:textId="07FC09C5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Sofia K</w:t>
            </w:r>
          </w:p>
        </w:tc>
        <w:tc>
          <w:tcPr>
            <w:tcW w:w="1638" w:type="dxa"/>
          </w:tcPr>
          <w:p w14:paraId="75933F4C" w14:textId="27C3D1D6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13.15</w:t>
            </w:r>
          </w:p>
        </w:tc>
      </w:tr>
      <w:tr w:rsidR="00D509D1" w:rsidRPr="00D509D1" w14:paraId="4D5A4935" w14:textId="77777777" w:rsidTr="00D509D1">
        <w:tc>
          <w:tcPr>
            <w:tcW w:w="744" w:type="dxa"/>
          </w:tcPr>
          <w:p w14:paraId="1A045DDD" w14:textId="33020F3B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5.</w:t>
            </w:r>
          </w:p>
        </w:tc>
        <w:tc>
          <w:tcPr>
            <w:tcW w:w="3459" w:type="dxa"/>
          </w:tcPr>
          <w:p w14:paraId="09D67941" w14:textId="77777777" w:rsid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Handlingsplan 2020-21</w:t>
            </w:r>
          </w:p>
          <w:p w14:paraId="34919AB0" w14:textId="7C199981" w:rsidR="00A3566E" w:rsidRPr="00D509D1" w:rsidRDefault="00A3566E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Beslut</w:t>
            </w:r>
          </w:p>
        </w:tc>
        <w:tc>
          <w:tcPr>
            <w:tcW w:w="2313" w:type="dxa"/>
          </w:tcPr>
          <w:p w14:paraId="5EF6CE66" w14:textId="77777777" w:rsid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Sofia K</w:t>
            </w:r>
          </w:p>
          <w:p w14:paraId="50E81CA4" w14:textId="5DF38149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Jimmy Eriksson</w:t>
            </w:r>
          </w:p>
        </w:tc>
        <w:tc>
          <w:tcPr>
            <w:tcW w:w="1638" w:type="dxa"/>
          </w:tcPr>
          <w:p w14:paraId="739F9D16" w14:textId="26F6BCDC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14.15</w:t>
            </w:r>
          </w:p>
        </w:tc>
      </w:tr>
      <w:tr w:rsidR="00D509D1" w:rsidRPr="00D509D1" w14:paraId="314092A2" w14:textId="77777777" w:rsidTr="00D509D1">
        <w:tc>
          <w:tcPr>
            <w:tcW w:w="744" w:type="dxa"/>
          </w:tcPr>
          <w:p w14:paraId="1BB7459B" w14:textId="6B151870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6.</w:t>
            </w:r>
          </w:p>
        </w:tc>
        <w:tc>
          <w:tcPr>
            <w:tcW w:w="3459" w:type="dxa"/>
          </w:tcPr>
          <w:p w14:paraId="60F60C7F" w14:textId="52EF7A12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Regionala utvecklingsstrategin</w:t>
            </w:r>
          </w:p>
        </w:tc>
        <w:tc>
          <w:tcPr>
            <w:tcW w:w="2313" w:type="dxa"/>
          </w:tcPr>
          <w:p w14:paraId="5A4A3F06" w14:textId="05A12ABC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Jerker B</w:t>
            </w:r>
          </w:p>
        </w:tc>
        <w:tc>
          <w:tcPr>
            <w:tcW w:w="1638" w:type="dxa"/>
          </w:tcPr>
          <w:p w14:paraId="6D60AFAE" w14:textId="335BB9A9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15.00</w:t>
            </w:r>
          </w:p>
        </w:tc>
      </w:tr>
      <w:tr w:rsidR="00D509D1" w:rsidRPr="00D509D1" w14:paraId="53A3B535" w14:textId="77777777" w:rsidTr="00D509D1">
        <w:tc>
          <w:tcPr>
            <w:tcW w:w="744" w:type="dxa"/>
          </w:tcPr>
          <w:p w14:paraId="15462466" w14:textId="6D54CF74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7.</w:t>
            </w:r>
          </w:p>
        </w:tc>
        <w:tc>
          <w:tcPr>
            <w:tcW w:w="3459" w:type="dxa"/>
          </w:tcPr>
          <w:p w14:paraId="3EEF24D6" w14:textId="29088EBF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Uppföljning gränssamverkan</w:t>
            </w:r>
          </w:p>
        </w:tc>
        <w:tc>
          <w:tcPr>
            <w:tcW w:w="2313" w:type="dxa"/>
          </w:tcPr>
          <w:p w14:paraId="77650007" w14:textId="6A7758F8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Ingela J</w:t>
            </w:r>
          </w:p>
        </w:tc>
        <w:tc>
          <w:tcPr>
            <w:tcW w:w="1638" w:type="dxa"/>
          </w:tcPr>
          <w:p w14:paraId="78BF0806" w14:textId="59CCB26D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15.</w:t>
            </w:r>
            <w:r w:rsidR="003E360D">
              <w:rPr>
                <w:sz w:val="24"/>
                <w:szCs w:val="24"/>
                <w:lang w:val="sv-SE"/>
              </w:rPr>
              <w:t>10</w:t>
            </w:r>
          </w:p>
        </w:tc>
      </w:tr>
      <w:tr w:rsidR="00D509D1" w:rsidRPr="00D509D1" w14:paraId="3418C8CC" w14:textId="77777777" w:rsidTr="00D509D1">
        <w:tc>
          <w:tcPr>
            <w:tcW w:w="744" w:type="dxa"/>
          </w:tcPr>
          <w:p w14:paraId="56C50ED0" w14:textId="63083D7D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8.</w:t>
            </w:r>
          </w:p>
        </w:tc>
        <w:tc>
          <w:tcPr>
            <w:tcW w:w="3459" w:type="dxa"/>
          </w:tcPr>
          <w:p w14:paraId="60D625D1" w14:textId="3213B5EB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AXG, upp</w:t>
            </w:r>
            <w:r w:rsidR="00A3566E">
              <w:rPr>
                <w:sz w:val="24"/>
                <w:szCs w:val="24"/>
                <w:lang w:val="sv-SE"/>
              </w:rPr>
              <w:t>datering</w:t>
            </w:r>
          </w:p>
        </w:tc>
        <w:tc>
          <w:tcPr>
            <w:tcW w:w="2313" w:type="dxa"/>
          </w:tcPr>
          <w:p w14:paraId="1C23508A" w14:textId="77777777" w:rsid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Hans Svensson</w:t>
            </w:r>
          </w:p>
          <w:p w14:paraId="12759E1E" w14:textId="67372518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Maria Carlund</w:t>
            </w:r>
          </w:p>
        </w:tc>
        <w:tc>
          <w:tcPr>
            <w:tcW w:w="1638" w:type="dxa"/>
          </w:tcPr>
          <w:p w14:paraId="453F9A8C" w14:textId="394E4199" w:rsidR="00D509D1" w:rsidRPr="00D509D1" w:rsidRDefault="003E360D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15.15</w:t>
            </w:r>
          </w:p>
        </w:tc>
      </w:tr>
      <w:tr w:rsidR="00D509D1" w:rsidRPr="00D509D1" w14:paraId="40970489" w14:textId="77777777" w:rsidTr="00D509D1">
        <w:tc>
          <w:tcPr>
            <w:tcW w:w="744" w:type="dxa"/>
          </w:tcPr>
          <w:p w14:paraId="4A6B82CD" w14:textId="751C8ADD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9.</w:t>
            </w:r>
          </w:p>
        </w:tc>
        <w:tc>
          <w:tcPr>
            <w:tcW w:w="3459" w:type="dxa"/>
          </w:tcPr>
          <w:p w14:paraId="1985D66E" w14:textId="77B6F9EF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 w:rsidRPr="00D509D1">
              <w:rPr>
                <w:sz w:val="24"/>
                <w:szCs w:val="24"/>
                <w:lang w:val="sv-SE"/>
              </w:rPr>
              <w:t>Mötesdatum 2020</w:t>
            </w:r>
          </w:p>
        </w:tc>
        <w:tc>
          <w:tcPr>
            <w:tcW w:w="2313" w:type="dxa"/>
          </w:tcPr>
          <w:p w14:paraId="3E7FF947" w14:textId="54391FDB" w:rsidR="00D509D1" w:rsidRPr="00D509D1" w:rsidRDefault="00D509D1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Karin T</w:t>
            </w:r>
          </w:p>
        </w:tc>
        <w:tc>
          <w:tcPr>
            <w:tcW w:w="1638" w:type="dxa"/>
          </w:tcPr>
          <w:p w14:paraId="4E8ADEED" w14:textId="7B107A11" w:rsidR="00D509D1" w:rsidRPr="00D509D1" w:rsidRDefault="003E360D" w:rsidP="00F45001">
            <w:pPr>
              <w:pStyle w:val="Brdtext-RJ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15.55</w:t>
            </w:r>
          </w:p>
        </w:tc>
      </w:tr>
    </w:tbl>
    <w:p w14:paraId="653F686A" w14:textId="049B2B66" w:rsidR="00D509D1" w:rsidRDefault="00D509D1" w:rsidP="00F45001">
      <w:pPr>
        <w:pStyle w:val="Brdtext-RJH"/>
        <w:rPr>
          <w:sz w:val="24"/>
          <w:szCs w:val="24"/>
          <w:lang w:val="sv-SE"/>
        </w:rPr>
      </w:pPr>
    </w:p>
    <w:p w14:paraId="4FDC880C" w14:textId="3DD34B83" w:rsidR="003E360D" w:rsidRDefault="00A3566E" w:rsidP="00F45001">
      <w:pPr>
        <w:pStyle w:val="Brdtext-RJH"/>
        <w:rPr>
          <w:sz w:val="24"/>
          <w:szCs w:val="24"/>
          <w:u w:val="single"/>
          <w:lang w:val="sv-SE"/>
        </w:rPr>
      </w:pPr>
      <w:r w:rsidRPr="00A3566E">
        <w:rPr>
          <w:sz w:val="24"/>
          <w:szCs w:val="24"/>
          <w:u w:val="single"/>
          <w:lang w:val="sv-SE"/>
        </w:rPr>
        <w:t>Möte med Patientnämndens kansli</w:t>
      </w:r>
    </w:p>
    <w:p w14:paraId="6E04BCD3" w14:textId="50AF9D96" w:rsidR="00A3566E" w:rsidRPr="00A3566E" w:rsidRDefault="00A3566E" w:rsidP="00F45001">
      <w:pPr>
        <w:pStyle w:val="Brdtext-RJ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Patientnämnden hanterar klagomål i vården. </w:t>
      </w:r>
      <w:r w:rsidRPr="00A3566E">
        <w:rPr>
          <w:sz w:val="24"/>
          <w:szCs w:val="24"/>
          <w:lang w:val="sv-SE"/>
        </w:rPr>
        <w:t>Syftet</w:t>
      </w:r>
      <w:r>
        <w:rPr>
          <w:sz w:val="24"/>
          <w:szCs w:val="24"/>
          <w:lang w:val="sv-SE"/>
        </w:rPr>
        <w:t xml:space="preserve"> med att bjuda in personal från Patientnämndens kansli är dels att vi får lära oss mer om hur Patientnämnden arbetar, och dels att berätta om de problem som samer upplever i mötet med vården. Det är välkommet att dela egna erfarenheter, eller erfarenheter som gjorts av personer i ens omgivning.</w:t>
      </w:r>
    </w:p>
    <w:p w14:paraId="1D9D8DC9" w14:textId="7C3D62A6" w:rsidR="00A3566E" w:rsidRDefault="00A3566E">
      <w:pPr>
        <w:pStyle w:val="Brdtext-RJH"/>
        <w:rPr>
          <w:sz w:val="24"/>
          <w:szCs w:val="24"/>
          <w:lang w:val="sv-SE"/>
        </w:rPr>
      </w:pPr>
    </w:p>
    <w:p w14:paraId="59FE6E5E" w14:textId="3854D6FA" w:rsidR="00A3566E" w:rsidRDefault="00A3566E">
      <w:pPr>
        <w:pStyle w:val="Brdtext-RJH"/>
        <w:rPr>
          <w:sz w:val="24"/>
          <w:szCs w:val="24"/>
          <w:u w:val="single"/>
          <w:lang w:val="sv-SE"/>
        </w:rPr>
      </w:pPr>
      <w:r w:rsidRPr="00A3566E">
        <w:rPr>
          <w:sz w:val="24"/>
          <w:szCs w:val="24"/>
          <w:u w:val="single"/>
          <w:lang w:val="sv-SE"/>
        </w:rPr>
        <w:t>Handlingsplan 2020-21</w:t>
      </w:r>
    </w:p>
    <w:p w14:paraId="29C815B4" w14:textId="6C88D45C" w:rsidR="00A3566E" w:rsidRPr="00A3566E" w:rsidRDefault="00A3566E">
      <w:pPr>
        <w:pStyle w:val="Brdtext-RJ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Bifogas. Den del av handlingsplanen som rör nationella minoriteter beslutas av samrådet.</w:t>
      </w:r>
    </w:p>
    <w:sectPr w:rsidR="00A3566E" w:rsidRPr="00A3566E" w:rsidSect="00E33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3893" w14:textId="77777777" w:rsidR="00845546" w:rsidRDefault="00845546" w:rsidP="00E47EFD">
      <w:r>
        <w:separator/>
      </w:r>
    </w:p>
  </w:endnote>
  <w:endnote w:type="continuationSeparator" w:id="0">
    <w:p w14:paraId="45BA2C69" w14:textId="77777777" w:rsidR="00845546" w:rsidRDefault="00845546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6EB9" w14:textId="77777777" w:rsidR="00975D5F" w:rsidRDefault="00975D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3256"/>
      <w:gridCol w:w="4262"/>
      <w:gridCol w:w="986"/>
      <w:gridCol w:w="852"/>
    </w:tblGrid>
    <w:tr w:rsidR="0017789C" w:rsidRPr="0017789C" w14:paraId="00A00EC1" w14:textId="77777777" w:rsidTr="00F45001"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14:paraId="580D8406" w14:textId="77777777" w:rsidR="00F45001" w:rsidRPr="0017789C" w:rsidRDefault="00F45001" w:rsidP="00F45001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14:paraId="198EC94D" w14:textId="77777777" w:rsidR="00F45001" w:rsidRPr="0017789C" w:rsidRDefault="00F45001" w:rsidP="00F45001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14:paraId="15CD50C3" w14:textId="77777777" w:rsidR="00F45001" w:rsidRPr="0017789C" w:rsidRDefault="00F45001" w:rsidP="00F45001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:rsidR="0017789C" w:rsidRPr="0017789C" w14:paraId="2C5E14B6" w14:textId="77777777" w:rsidTr="00F45001"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14:paraId="1762A149" w14:textId="77777777" w:rsidR="00F45001" w:rsidRPr="0017789C" w:rsidRDefault="00F45001" w:rsidP="00975D5F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14:paraId="3DD23694" w14:textId="77777777" w:rsidR="00F45001" w:rsidRPr="0017789C" w:rsidRDefault="00F45001" w:rsidP="00F45001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14:paraId="44848E90" w14:textId="77777777" w:rsidR="00F45001" w:rsidRPr="0017789C" w:rsidRDefault="00F45001" w:rsidP="00F45001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:rsidR="0017789C" w:rsidRPr="0017789C" w14:paraId="23990455" w14:textId="77777777" w:rsidTr="00F45001"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14:paraId="304D6143" w14:textId="77777777" w:rsidR="00F45001" w:rsidRPr="00975D5F" w:rsidRDefault="00F45001" w:rsidP="00F45001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14:paraId="4048052C" w14:textId="77777777" w:rsidR="00F45001" w:rsidRPr="00F45001" w:rsidRDefault="00F45001" w:rsidP="00975D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D59D" w14:textId="77777777" w:rsidR="00975D5F" w:rsidRDefault="00975D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3235" w14:textId="77777777" w:rsidR="00845546" w:rsidRDefault="00845546" w:rsidP="00E47EFD">
      <w:r>
        <w:separator/>
      </w:r>
    </w:p>
  </w:footnote>
  <w:footnote w:type="continuationSeparator" w:id="0">
    <w:p w14:paraId="13294449" w14:textId="77777777" w:rsidR="00845546" w:rsidRDefault="00845546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6150" w14:textId="77777777" w:rsidR="00975D5F" w:rsidRDefault="00975D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26F2" w14:textId="77777777" w:rsidR="00982122" w:rsidRPr="00AB5EA8" w:rsidRDefault="001B58E8" w:rsidP="00982122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7C9FDA30" wp14:editId="1B82551B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8"/>
      <w:gridCol w:w="4541"/>
      <w:gridCol w:w="1230"/>
    </w:tblGrid>
    <w:tr w:rsidR="00975D5F" w:rsidRPr="00975D5F" w14:paraId="42CFA59C" w14:textId="77777777" w:rsidTr="00D86807"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14:paraId="7C93C503" w14:textId="77777777" w:rsidR="005A7792" w:rsidRPr="00975D5F" w:rsidRDefault="005A7792" w:rsidP="00982122">
          <w:pPr>
            <w:pStyle w:val="Sidhuvud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14:paraId="4BF9FFA5" w14:textId="77777777" w:rsidR="002043A6" w:rsidRPr="00975D5F" w:rsidRDefault="00975D5F" w:rsidP="004D76C0">
          <w:pPr>
            <w:pStyle w:val="Sidhuvud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 CCategory  \* MERGEFORMAT 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845546" w:rsidRPr="00845546">
            <w:rPr>
              <w:rFonts w:asciiTheme="majorHAnsi" w:hAnsiTheme="majorHAnsi" w:cstheme="minorHAnsi"/>
              <w:caps w:val="0"/>
              <w:color w:val="7F7F7F"/>
              <w:sz w:val="13"/>
            </w:rPr>
            <w:t>KALLELSE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14:paraId="50D14B03" w14:textId="77777777" w:rsidR="004D76C0" w:rsidRPr="00975D5F" w:rsidRDefault="00975D5F" w:rsidP="004D76C0">
          <w:pPr>
            <w:pStyle w:val="Sidhuvud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 Ctitle  \* MERGEFORMAT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845546">
            <w:rPr>
              <w:rFonts w:asciiTheme="majorHAnsi" w:hAnsiTheme="majorHAnsi"/>
              <w:color w:val="7F7F7F"/>
              <w:sz w:val="13"/>
            </w:rPr>
            <w:t>Välkommen till samråd, 191203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14:paraId="0837856A" w14:textId="77777777" w:rsidR="0017789C" w:rsidRPr="00975D5F" w:rsidRDefault="0017789C" w:rsidP="004D76C0">
          <w:pPr>
            <w:pStyle w:val="Sidhuvud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14:paraId="5505E662" w14:textId="77777777" w:rsidR="005A7792" w:rsidRPr="00975D5F" w:rsidRDefault="00D93CB7" w:rsidP="005C5B00">
          <w:pPr>
            <w:pStyle w:val="Sidhuvud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="005A7792"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="00D411C6" w:rsidRPr="00975D5F">
            <w:rPr>
              <w:rFonts w:asciiTheme="majorHAnsi" w:hAnsiTheme="majorHAnsi" w:cstheme="minorHAnsi"/>
              <w:noProof/>
              <w:color w:val="7F7F7F"/>
              <w:sz w:val="13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="005A7792"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="00975D5F"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="00975D5F" w:rsidRP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="00975D5F"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D411C6" w:rsidRPr="00975D5F">
            <w:rPr>
              <w:rFonts w:asciiTheme="majorHAnsi" w:hAnsiTheme="majorHAnsi" w:cstheme="minorHAnsi"/>
              <w:noProof/>
              <w:color w:val="7F7F7F"/>
              <w:sz w:val="13"/>
            </w:rPr>
            <w:t>1</w:t>
          </w:r>
          <w:r w:rsidR="00975D5F" w:rsidRP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="005A7792"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14:paraId="5E642440" w14:textId="77777777" w:rsidR="005A7792" w:rsidRPr="00975D5F" w:rsidRDefault="00975D5F" w:rsidP="005C5B00">
          <w:pPr>
            <w:pStyle w:val="Sidhuvud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 DocNo  \* MERGEFORMAT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845546" w:rsidRPr="00845546">
            <w:rPr>
              <w:rFonts w:asciiTheme="majorHAnsi" w:hAnsiTheme="majorHAnsi" w:cstheme="minorHAnsi"/>
              <w:color w:val="7F7F7F"/>
              <w:sz w:val="13"/>
            </w:rPr>
            <w:t>53817-1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</w:p>
      </w:tc>
    </w:tr>
    <w:tr w:rsidR="00975D5F" w:rsidRPr="00975D5F" w14:paraId="5A1B59EB" w14:textId="77777777" w:rsidTr="00D86807"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14:paraId="33111CE7" w14:textId="77777777" w:rsidR="005A7792" w:rsidRPr="00975D5F" w:rsidRDefault="00975D5F" w:rsidP="005C5B00">
          <w:pPr>
            <w:pStyle w:val="Sidhuvud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 OwnerOU  \* MERGEFORMAT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845546" w:rsidRPr="00845546">
            <w:rPr>
              <w:rFonts w:asciiTheme="majorHAnsi" w:hAnsiTheme="majorHAnsi" w:cstheme="minorHAnsi"/>
              <w:color w:val="7F7F7F"/>
              <w:sz w:val="13"/>
            </w:rPr>
            <w:t>Hälso-</w:t>
          </w:r>
          <w:r w:rsidR="00845546">
            <w:rPr>
              <w:rFonts w:asciiTheme="majorHAnsi" w:hAnsiTheme="majorHAnsi"/>
              <w:color w:val="7F7F7F"/>
              <w:sz w:val="13"/>
            </w:rPr>
            <w:t xml:space="preserve"> och sjukvårdspolitiska avdelningen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</w:p>
        <w:p w14:paraId="328E8B7B" w14:textId="77777777" w:rsidR="005A7792" w:rsidRPr="00975D5F" w:rsidRDefault="00D93CB7" w:rsidP="005A7792">
          <w:pPr>
            <w:pStyle w:val="Sidhuvud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="00A67FE1"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DO</w:instrText>
          </w:r>
          <w:r w:rsidR="00844C39" w:rsidRPr="00975D5F">
            <w:rPr>
              <w:rFonts w:asciiTheme="majorHAnsi" w:hAnsiTheme="majorHAnsi" w:cstheme="minorHAnsi"/>
              <w:color w:val="7F7F7F"/>
              <w:sz w:val="13"/>
            </w:rPr>
            <w:instrText>CPROPERTY  Owner  \* Caps</w:instrText>
          </w:r>
          <w:r w:rsidR="00A67FE1"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="00845546">
            <w:rPr>
              <w:rFonts w:asciiTheme="majorHAnsi" w:hAnsiTheme="majorHAnsi" w:cstheme="minorHAnsi"/>
              <w:caps w:val="0"/>
              <w:color w:val="7F7F7F"/>
              <w:sz w:val="13"/>
            </w:rPr>
            <w:t>Sofia Kling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</w:p>
        <w:p w14:paraId="2189C50D" w14:textId="77777777" w:rsidR="005A7792" w:rsidRPr="00975D5F" w:rsidRDefault="005A7792" w:rsidP="00982122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</w:rPr>
          </w:pPr>
        </w:p>
        <w:p w14:paraId="3D59559F" w14:textId="77777777" w:rsidR="00E33AE4" w:rsidRPr="00975D5F" w:rsidRDefault="00E33AE4" w:rsidP="00982122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14:paraId="27367CB2" w14:textId="77777777" w:rsidR="005A7792" w:rsidRPr="00975D5F" w:rsidRDefault="005A7792" w:rsidP="00982122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14:paraId="705A7A86" w14:textId="77777777" w:rsidR="005A7792" w:rsidRPr="00975D5F" w:rsidRDefault="005A7792" w:rsidP="005C5B00">
          <w:pPr>
            <w:pStyle w:val="Sidhuvud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</w:tbl>
  <w:p w14:paraId="6655744B" w14:textId="77777777" w:rsidR="00E47EFD" w:rsidRPr="00AB5EA8" w:rsidRDefault="00E47EFD" w:rsidP="00982122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336F" w14:textId="77777777" w:rsidR="004569FA" w:rsidRDefault="004569F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7207B569" wp14:editId="2CC77DB9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21B2"/>
    <w:multiLevelType w:val="hybridMultilevel"/>
    <w:tmpl w:val="CAD6F6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46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360D"/>
    <w:rsid w:val="003F5483"/>
    <w:rsid w:val="003F6EEC"/>
    <w:rsid w:val="003F700D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5546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3566E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CF07D5"/>
    <w:rsid w:val="00D04789"/>
    <w:rsid w:val="00D14DDB"/>
    <w:rsid w:val="00D21159"/>
    <w:rsid w:val="00D22B89"/>
    <w:rsid w:val="00D27B3D"/>
    <w:rsid w:val="00D411C6"/>
    <w:rsid w:val="00D46D41"/>
    <w:rsid w:val="00D509D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7BE35"/>
  <w15:docId w15:val="{0FF95B9B-EF84-400C-B26E-FD32FD18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table" w:styleId="Tabellrutnt">
    <w:name w:val="Table Grid"/>
    <w:basedOn w:val="Normaltabel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Sidhuvud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Sidhuvud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Sidhuvud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Sidhuvud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Normaltabell"/>
    <w:next w:val="Tabellrutnt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l\AppData\Local\Temp\29\~cc3C6D.tmp" TargetMode="External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0059AA-B868-4A53-AFA8-A5C706D1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~cc3C6D.tmp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samråd, 191203</vt:lpstr>
    </vt:vector>
  </TitlesOfParts>
  <Manager/>
  <Company>Region Jämtland Härjedalen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samråd, 191203</dc:title>
  <dc:subject/>
  <dc:creator>Sofia Kling</dc:creator>
  <cp:keywords/>
  <dc:description/>
  <cp:lastModifiedBy>Sofia Kling</cp:lastModifiedBy>
  <cp:revision>3</cp:revision>
  <cp:lastPrinted>2015-10-27T14:22:00Z</cp:lastPrinted>
  <dcterms:created xsi:type="dcterms:W3CDTF">2019-11-26T17:55:00Z</dcterms:created>
  <dcterms:modified xsi:type="dcterms:W3CDTF">2019-11-26T17:55:00Z</dcterms:modified>
  <cp:category>Kallelse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53817-1</vt:lpwstr>
  </property>
  <property fmtid="{D5CDD505-2E9C-101B-9397-08002B2CF9AE}" pid="3" name="Owner">
    <vt:lpwstr>Sofia Kling</vt:lpwstr>
  </property>
  <property fmtid="{D5CDD505-2E9C-101B-9397-08002B2CF9AE}" pid="4" name="OwnerOU">
    <vt:lpwstr>Hälso- och sjukvårdspolitiska avdelningen</vt:lpwstr>
  </property>
  <property fmtid="{D5CDD505-2E9C-101B-9397-08002B2CF9AE}" pid="5" name="Ctitle">
    <vt:lpwstr>Välkommen till samråd, 191203</vt:lpwstr>
  </property>
  <property fmtid="{D5CDD505-2E9C-101B-9397-08002B2CF9AE}" pid="6" name="CCategory">
    <vt:lpwstr>Kallelse</vt:lpwstr>
  </property>
  <property fmtid="{D5CDD505-2E9C-101B-9397-08002B2CF9AE}" pid="7" name="ValidFrom">
    <vt:lpwstr/>
  </property>
  <property fmtid="{D5CDD505-2E9C-101B-9397-08002B2CF9AE}" pid="8" name="ApprovedBy">
    <vt:lpwstr/>
  </property>
  <property fmtid="{D5CDD505-2E9C-101B-9397-08002B2CF9AE}" pid="9" name="ReviewedBy">
    <vt:lpwstr/>
  </property>
  <property fmtid="{D5CDD505-2E9C-101B-9397-08002B2CF9AE}" pid="10" name="RegNo">
    <vt:lpwstr>53817</vt:lpwstr>
  </property>
  <property fmtid="{D5CDD505-2E9C-101B-9397-08002B2CF9AE}" pid="11" name="Issue">
    <vt:lpwstr>1</vt:lpwstr>
  </property>
  <property fmtid="{D5CDD505-2E9C-101B-9397-08002B2CF9AE}" pid="12" name="DocumentNo">
    <vt:lpwstr>53817-1</vt:lpwstr>
  </property>
  <property fmtid="{D5CDD505-2E9C-101B-9397-08002B2CF9AE}" pid="13" name="Phase">
    <vt:lpwstr>Under bearbetning - ej giltigt!</vt:lpwstr>
  </property>
  <property fmtid="{D5CDD505-2E9C-101B-9397-08002B2CF9AE}" pid="14" name="Folder">
    <vt:lpwstr>Den enda mappen</vt:lpwstr>
  </property>
  <property fmtid="{D5CDD505-2E9C-101B-9397-08002B2CF9AE}" pid="15" name="EstablishedDate">
    <vt:lpwstr>2019-11-26</vt:lpwstr>
  </property>
  <property fmtid="{D5CDD505-2E9C-101B-9397-08002B2CF9AE}" pid="16" name="EstablishedBy">
    <vt:lpwstr>Sofia Kling</vt:lpwstr>
  </property>
  <property fmtid="{D5CDD505-2E9C-101B-9397-08002B2CF9AE}" pid="17" name="EstablishedByOU">
    <vt:lpwstr>Hälso- och sjukvårdspolitiska avdelningen</vt:lpwstr>
  </property>
  <property fmtid="{D5CDD505-2E9C-101B-9397-08002B2CF9AE}" pid="18" name="EstablishedByTitle">
    <vt:lpwstr>Funktionsansvarig</vt:lpwstr>
  </property>
  <property fmtid="{D5CDD505-2E9C-101B-9397-08002B2CF9AE}" pid="19" name="EstablishedByPositionCode">
    <vt:lpwstr/>
  </property>
  <property fmtid="{D5CDD505-2E9C-101B-9397-08002B2CF9AE}" pid="20" name="OwnerTitle">
    <vt:lpwstr>Funktionsansvarig</vt:lpwstr>
  </property>
  <property fmtid="{D5CDD505-2E9C-101B-9397-08002B2CF9AE}" pid="21" name="OwnerPositionCode">
    <vt:lpwstr/>
  </property>
</Properties>
</file>